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533" w:lineRule="exact"/>
        <w:ind w:left="1512" w:right="0" w:firstLine="0"/>
        <w:jc w:val="left"/>
        <w:rPr>
          <w:rFonts w:ascii="Times New Roman"/>
          <w:color w:val="000000"/>
          <w:spacing w:val="0"/>
          <w:sz w:val="44"/>
        </w:rPr>
      </w:pPr>
      <w:r>
        <w:bookmarkStart w:name="br1" w:id="br1"/>
      </w:r>
      <w:r>
        <w:bookmarkEnd w:id="br1"/>
      </w:r>
      <w:r>
        <w:rPr>
          <w:rFonts w:ascii="SNUDFA+" w:hAnsi="SNUDFA+" w:cs="SNUDFA+"/>
          <w:color w:val="000000"/>
          <w:spacing w:val="0"/>
          <w:sz w:val="44"/>
        </w:rPr>
        <w:t>钢铁行业产能置换实施办法</w:t>
      </w:r>
      <w:r>
        <w:rPr>
          <w:rFonts w:ascii="Times New Roman"/>
          <w:color w:val="000000"/>
          <w:spacing w:val="0"/>
          <w:sz w:val="44"/>
        </w:rPr>
      </w:r>
    </w:p>
    <w:p>
      <w:pPr>
        <w:pStyle w:val="Normal"/>
        <w:spacing w:before="775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第一条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为贯彻落实《国务院关于钢铁行业化解过剩产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6"/>
          <w:sz w:val="32"/>
        </w:rPr>
        <w:t>能实现脱困发展的意见》有关要求，促进钢铁行业减量提质，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制定本办法。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14"/>
          <w:sz w:val="32"/>
        </w:rPr>
        <w:t>第二条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3"/>
          <w:sz w:val="32"/>
        </w:rPr>
        <w:t>本办法适用于中华人民共和国境内各类所有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制企业新建、改建（含大修）、扩建的炼铁、炼钢冶炼设备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项目。本办法所称的大修是指不改变冶炼设备类型、公称容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8"/>
          <w:sz w:val="32"/>
        </w:rPr>
        <w:t>量（积）、数量，在原厂界范围内拆除高炉本体、转炉</w:t>
      </w:r>
      <w:r>
        <w:rPr>
          <w:rFonts w:ascii="CFHWHG+TimesNewRomanPSMT"/>
          <w:color w:val="000000"/>
          <w:spacing w:val="0"/>
          <w:sz w:val="32"/>
        </w:rPr>
        <w:t>/</w:t>
      </w:r>
      <w:r>
        <w:rPr>
          <w:rFonts w:ascii="VBHETH+FangSong_GB2312" w:hAnsi="VBHETH+FangSong_GB2312" w:cs="VBHETH+FangSong_GB2312"/>
          <w:color w:val="000000"/>
          <w:spacing w:val="2"/>
          <w:sz w:val="32"/>
        </w:rPr>
        <w:t>电炉</w:t>
      </w:r>
      <w:r>
        <w:rPr>
          <w:rFonts w:ascii="CFHWHG+TimesNewRomanPSMT"/>
          <w:color w:val="000000"/>
          <w:spacing w:val="0"/>
          <w:sz w:val="32"/>
        </w:rPr>
        <w:t>/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氩氧脱碳炉（</w:t>
      </w:r>
      <w:r>
        <w:rPr>
          <w:rFonts w:ascii="CFHWHG+TimesNewRomanPSMT"/>
          <w:color w:val="000000"/>
          <w:spacing w:val="0"/>
          <w:sz w:val="32"/>
        </w:rPr>
        <w:t>AOD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炉）炉座并重建的改造项目。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14"/>
          <w:sz w:val="32"/>
        </w:rPr>
        <w:t>第三条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3"/>
          <w:sz w:val="32"/>
        </w:rPr>
        <w:t>本办法所称的等量置换是指建设产能等于退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出产能，减量置换是指建设产能小于退出产能，置换比例是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指退出产能与建设产能之比。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第四条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本办法所称的重点区域依据《国务院关于印发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〈空气质量持续改善行动计划〉的通知》（国发〔</w:t>
      </w:r>
      <w:r>
        <w:rPr>
          <w:rFonts w:ascii="CFHWHG+TimesNewRomanPSMT"/>
          <w:color w:val="000000"/>
          <w:spacing w:val="1"/>
          <w:sz w:val="32"/>
        </w:rPr>
        <w:t>2023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〕</w:t>
      </w:r>
      <w:r>
        <w:rPr>
          <w:rFonts w:ascii="CFHWHG+TimesNewRomanPSMT"/>
          <w:color w:val="000000"/>
          <w:spacing w:val="1"/>
          <w:sz w:val="32"/>
        </w:rPr>
        <w:t>24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号）界定（附件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1</w:t>
      </w:r>
      <w:r>
        <w:rPr>
          <w:rFonts w:ascii="VBHETH+FangSong_GB2312" w:hAnsi="VBHETH+FangSong_GB2312" w:cs="VBHETH+FangSong_GB2312"/>
          <w:color w:val="000000"/>
          <w:spacing w:val="-11"/>
          <w:sz w:val="32"/>
        </w:rPr>
        <w:t>）。国家另有规定的从其规定。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6"/>
          <w:sz w:val="32"/>
        </w:rPr>
        <w:t>第五条</w:t>
      </w:r>
      <w:r>
        <w:rPr>
          <w:rFonts w:ascii="Times New Roman"/>
          <w:color w:val="000000"/>
          <w:spacing w:val="25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7"/>
          <w:sz w:val="32"/>
        </w:rPr>
        <w:t>用于产能置换的冶炼设备须在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FHWHG+TimesNewRomanPSMT"/>
          <w:color w:val="000000"/>
          <w:spacing w:val="-1"/>
          <w:sz w:val="32"/>
        </w:rPr>
        <w:t>2016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年国务院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国资委、各省级人民政府报国务院备案去产能实施方案的钢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5"/>
          <w:sz w:val="32"/>
        </w:rPr>
        <w:t>铁行业冶炼设备清单内（以下简称备案清单），</w:t>
      </w:r>
      <w:r>
        <w:rPr>
          <w:rFonts w:ascii="CFHWHG+TimesNewRomanPSMT"/>
          <w:color w:val="000000"/>
          <w:spacing w:val="-1"/>
          <w:sz w:val="32"/>
        </w:rPr>
        <w:t>2016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3"/>
          <w:sz w:val="32"/>
        </w:rPr>
        <w:t>年及以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后建成的合法合规冶炼设备也可用于产能置换。以下六类冶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炼设备的产能不得用于置换：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667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2872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2" w:id="br2"/>
      </w:r>
      <w:r>
        <w:bookmarkEnd w:id="br2"/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（一）列入钢铁去产能任务的设备、享受奖补资金支持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的退出设备；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（二）《产业结构调整指导目录》规定的淘汰类生产设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备；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（三）截至省级工业和信息化主管部门公示产能置换方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案时，未实际建成投产的设备；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（四）截至省级工业和信息化主管部门公示产能置换方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案时，产能退出企业（集团）所属全部炼铁、炼钢设备，连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续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2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年每年总产能利用率按年产量与折算产能之比计算不足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5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0"/>
          <w:sz w:val="32"/>
        </w:rPr>
        <w:t>25%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或每年运转天数不足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90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天；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（五）用于铸造、锻压、铁合金等生产的冶炼设备；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7"/>
          <w:sz w:val="32"/>
        </w:rPr>
        <w:t>（六）提钒转炉、二次精炼炉、感应炉等辅助生产设备，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-1"/>
          <w:sz w:val="32"/>
        </w:rPr>
        <w:t>2016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年以来未履行产能置换手续的脱磷转炉、</w:t>
      </w:r>
      <w:r>
        <w:rPr>
          <w:rFonts w:ascii="CFHWHG+TimesNewRomanPSMT"/>
          <w:color w:val="000000"/>
          <w:spacing w:val="0"/>
          <w:sz w:val="32"/>
        </w:rPr>
        <w:t>AOD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炉。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第六条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自本办法实施之日起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2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6"/>
          <w:sz w:val="32"/>
        </w:rPr>
        <w:t>年内，不同企业（集团）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之间炼铁、炼钢产能可实施产能置换。自本办法实施之日起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0"/>
          <w:sz w:val="32"/>
        </w:rPr>
        <w:t>2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4"/>
          <w:sz w:val="32"/>
        </w:rPr>
        <w:t>年后，企业（集团）内部炼铁、炼钢产能可实施产能置换；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不同企业（集团）之间炼铁、炼钢产能不得实施产能置换，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仅可通过实质性兼并重组实现产能整合、转移。退出产能须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与每台冶炼设备严格对应，每台冶炼设备的产能只能用于同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一企业（集团）且不得超过两个项目。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第七条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CFHWHG+TimesNewRomanPSMT"/>
          <w:color w:val="000000"/>
          <w:spacing w:val="-1"/>
          <w:sz w:val="32"/>
        </w:rPr>
        <w:t>2016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5"/>
          <w:sz w:val="32"/>
        </w:rPr>
        <w:t>年及以后建成的合法合规冶炼设备，退出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5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3"/>
          <w:sz w:val="32"/>
        </w:rPr>
        <w:t>产能数量根据《产能折算表》（附件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</w:t>
      </w:r>
      <w:r>
        <w:rPr>
          <w:rFonts w:ascii="VBHETH+FangSong_GB2312" w:hAnsi="VBHETH+FangSong_GB2312" w:cs="VBHETH+FangSong_GB2312"/>
          <w:color w:val="000000"/>
          <w:spacing w:val="-5"/>
          <w:sz w:val="32"/>
        </w:rPr>
        <w:t>）折算。备案清单内的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钢铁行业冶炼设备，退出产能数量以备案清单内产能数量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计。备案清单内每台冶炼设备产能未一一明确的，各设备根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3" w:id="br3"/>
      </w:r>
      <w:r>
        <w:bookmarkEnd w:id="br3"/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据《产能折算表》折算相应产能，按照各设备折算产能占折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算总产能的比例，分配备案清单内总产能。通过产能置换建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设的冶炼设备产能数量根据《产能折算表》折算。其中，作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0"/>
          <w:sz w:val="32"/>
        </w:rPr>
        <w:t>为不锈钢冶炼设备的</w:t>
      </w:r>
      <w:r>
        <w:rPr>
          <w:rFonts w:ascii="CFHWHG+TimesNewRomanPSMT"/>
          <w:color w:val="000000"/>
          <w:spacing w:val="4"/>
          <w:sz w:val="32"/>
        </w:rPr>
        <w:t>AOD</w:t>
      </w:r>
      <w:r>
        <w:rPr>
          <w:rFonts w:ascii="VBHETH+FangSong_GB2312" w:hAnsi="VBHETH+FangSong_GB2312" w:cs="VBHETH+FangSong_GB2312"/>
          <w:color w:val="000000"/>
          <w:spacing w:val="10"/>
          <w:sz w:val="32"/>
        </w:rPr>
        <w:t>炉产能按同炉容转炉产能的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60%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计算。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第八条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建设脱磷转炉须产能置换，退出和建设产能数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5"/>
          <w:sz w:val="32"/>
        </w:rPr>
        <w:t>量按普通转炉计。采用“电炉</w:t>
      </w:r>
      <w:r>
        <w:rPr>
          <w:rFonts w:ascii="CFHWHG+TimesNewRomanPSMT"/>
          <w:color w:val="000000"/>
          <w:spacing w:val="0"/>
          <w:sz w:val="32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转炉</w:t>
      </w:r>
      <w:r>
        <w:rPr>
          <w:rFonts w:ascii="CFHWHG+TimesNewRomanPSMT"/>
          <w:color w:val="000000"/>
          <w:spacing w:val="-1"/>
          <w:sz w:val="32"/>
        </w:rPr>
        <w:t>+AOD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4"/>
          <w:sz w:val="32"/>
        </w:rPr>
        <w:t>炉”双联法工艺冶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9"/>
          <w:sz w:val="32"/>
        </w:rPr>
        <w:t>炼不锈钢的，退出和建设炼钢产能数量以电炉</w:t>
      </w:r>
      <w:r>
        <w:rPr>
          <w:rFonts w:ascii="CFHWHG+TimesNewRomanPSMT"/>
          <w:color w:val="000000"/>
          <w:spacing w:val="9"/>
          <w:sz w:val="32"/>
        </w:rPr>
        <w:t>/</w:t>
      </w:r>
      <w:r>
        <w:rPr>
          <w:rFonts w:ascii="VBHETH+FangSong_GB2312" w:hAnsi="VBHETH+FangSong_GB2312" w:cs="VBHETH+FangSong_GB2312"/>
          <w:color w:val="000000"/>
          <w:spacing w:val="8"/>
          <w:sz w:val="32"/>
        </w:rPr>
        <w:t>转炉产能或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-1"/>
          <w:sz w:val="32"/>
        </w:rPr>
        <w:t>AOD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20"/>
          <w:sz w:val="32"/>
        </w:rPr>
        <w:t>炉产能的高值计；采用“回转窑</w:t>
      </w:r>
      <w:r>
        <w:rPr>
          <w:rFonts w:ascii="SimSun" w:hAnsi="SimSun" w:cs="SimSun"/>
          <w:color w:val="000000"/>
          <w:spacing w:val="2"/>
          <w:sz w:val="32"/>
        </w:rPr>
        <w:t>－</w:t>
      </w:r>
      <w:r>
        <w:rPr>
          <w:rFonts w:ascii="VBHETH+FangSong_GB2312" w:hAnsi="VBHETH+FangSong_GB2312" w:cs="VBHETH+FangSong_GB2312"/>
          <w:color w:val="000000"/>
          <w:spacing w:val="-34"/>
          <w:sz w:val="32"/>
        </w:rPr>
        <w:t>矿热炉（</w:t>
      </w:r>
      <w:r>
        <w:rPr>
          <w:rFonts w:ascii="CFHWHG+TimesNewRomanPSMT"/>
          <w:color w:val="000000"/>
          <w:spacing w:val="0"/>
          <w:sz w:val="32"/>
        </w:rPr>
        <w:t>RKEF</w:t>
      </w:r>
      <w:r>
        <w:rPr>
          <w:rFonts w:ascii="VBHETH+FangSong_GB2312" w:hAnsi="VBHETH+FangSong_GB2312" w:cs="VBHETH+FangSong_GB2312"/>
          <w:color w:val="000000"/>
          <w:spacing w:val="-140"/>
          <w:sz w:val="32"/>
        </w:rPr>
        <w:t>）</w:t>
      </w:r>
      <w:r>
        <w:rPr>
          <w:rFonts w:ascii="CFHWHG+TimesNewRomanPSMT"/>
          <w:color w:val="000000"/>
          <w:spacing w:val="0"/>
          <w:sz w:val="32"/>
        </w:rPr>
        <w:t>+AOD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5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7"/>
          <w:sz w:val="32"/>
        </w:rPr>
        <w:t>炉”工艺冶炼不锈钢的，退出和建设炼钢产能数量以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1"/>
          <w:sz w:val="32"/>
        </w:rPr>
        <w:t>AOD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炉产能计。不锈钢企业配套建设用于熔化合金的感应炉，感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应炉设备容量和数量（以感应炉配套的变压器数量计）的乘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积之和不得高于电炉</w:t>
      </w:r>
      <w:r>
        <w:rPr>
          <w:rFonts w:ascii="CFHWHG+TimesNewRomanPSMT"/>
          <w:color w:val="000000"/>
          <w:spacing w:val="0"/>
          <w:sz w:val="32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转炉或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-1"/>
          <w:sz w:val="32"/>
        </w:rPr>
        <w:t>AOD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炉公称容量之和的</w:t>
      </w:r>
      <w:r>
        <w:rPr>
          <w:rFonts w:ascii="CFHWHG+TimesNewRomanPSMT"/>
          <w:color w:val="000000"/>
          <w:spacing w:val="0"/>
          <w:sz w:val="32"/>
        </w:rPr>
        <w:t>50%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第九条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长江经济带地区禁止在合规园区外新建、扩建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钢铁冶炼项目。重点区域严禁新增钢铁产能总量，严禁从非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重点区域向重点区域转移钢铁产能，严禁不同重点区域间转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移钢铁产能，同一重点区域内可以跨省（区、市）转移。国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家有明确钢铁产能总量控制目标的省（市），不得接受其他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地区转入的钢铁产能。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第十条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3"/>
          <w:sz w:val="32"/>
        </w:rPr>
        <w:t>炼铁、炼钢产能置换比例不低于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1.5:1</w:t>
      </w:r>
      <w:r>
        <w:rPr>
          <w:rFonts w:ascii="VBHETH+FangSong_GB2312" w:hAnsi="VBHETH+FangSong_GB2312" w:cs="VBHETH+FangSong_GB2312"/>
          <w:color w:val="000000"/>
          <w:spacing w:val="-13"/>
          <w:sz w:val="32"/>
        </w:rPr>
        <w:t>。为鼓励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兼并重组和绿色低碳发展，支持企业利用废钢资源有序发展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电炉钢，开展氢冶金等低碳工艺技术应用，对相关情形实施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不同置换比例：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（一）对《关于暂停钢铁产能置换工作的通知》（工信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612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4" w:id="br4"/>
      </w:r>
      <w:r>
        <w:bookmarkEnd w:id="br4"/>
      </w:r>
      <w:r>
        <w:rPr>
          <w:rFonts w:ascii="VBHETH+FangSong_GB2312" w:hAnsi="VBHETH+FangSong_GB2312" w:cs="VBHETH+FangSong_GB2312"/>
          <w:color w:val="000000"/>
          <w:spacing w:val="7"/>
          <w:sz w:val="32"/>
        </w:rPr>
        <w:t>厅原函〔</w:t>
      </w:r>
      <w:r>
        <w:rPr>
          <w:rFonts w:ascii="CFHWHG+TimesNewRomanPSMT"/>
          <w:color w:val="000000"/>
          <w:spacing w:val="1"/>
          <w:sz w:val="32"/>
        </w:rPr>
        <w:t>2024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〕</w:t>
      </w:r>
      <w:r>
        <w:rPr>
          <w:rFonts w:ascii="CFHWHG+TimesNewRomanPSMT"/>
          <w:color w:val="000000"/>
          <w:spacing w:val="0"/>
          <w:sz w:val="32"/>
        </w:rPr>
        <w:t>327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7"/>
          <w:sz w:val="32"/>
        </w:rPr>
        <w:t>号）发布之日（</w:t>
      </w:r>
      <w:r>
        <w:rPr>
          <w:rFonts w:ascii="CFHWHG+TimesNewRomanPSMT"/>
          <w:color w:val="000000"/>
          <w:spacing w:val="-1"/>
          <w:sz w:val="32"/>
        </w:rPr>
        <w:t>2024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日）后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实施实质性兼并重组，并将被重组企业的合规产能用于置换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的，炼铁、炼钢产能置换比例均不低于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1.25:1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（二）退出转炉及配套高炉，且配套退出的高炉炼铁产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能不再用于置换，建设电炉的项目可实施等量置换；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（三）退出和建设冶炼设备均为电炉的项目可实施等量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（四）采用电渣重熔、真空自耗、真空感应等特殊冶炼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工艺，生产高端特殊钢的电炉炼钢项目可实施等量置换；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（五）退出转炉且一并退出配套高炉，采用“低碳冶金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4"/>
          <w:sz w:val="32"/>
        </w:rPr>
        <w:t>+</w:t>
      </w:r>
      <w:r>
        <w:rPr>
          <w:rFonts w:ascii="VBHETH+FangSong_GB2312" w:hAnsi="VBHETH+FangSong_GB2312" w:cs="VBHETH+FangSong_GB2312"/>
          <w:color w:val="000000"/>
          <w:spacing w:val="4"/>
          <w:sz w:val="32"/>
        </w:rPr>
        <w:t>电炉”工艺，且炼铁工序碳减排比例不低于高炉工艺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60%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的炼铁、炼钢项目（高炉工艺的单位碳排放值采用上年度碳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排放交易市场钢铁行业高炉工序碳排放平衡值，下同），可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实施等量置换；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（六）退出现有高炉，采用氢冶金等低碳工艺技术，建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2"/>
          <w:sz w:val="32"/>
        </w:rPr>
        <w:t>设碳减排比例不低于高炉工艺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4"/>
          <w:sz w:val="32"/>
        </w:rPr>
        <w:t>60%</w:t>
      </w:r>
      <w:r>
        <w:rPr>
          <w:rFonts w:ascii="VBHETH+FangSong_GB2312" w:hAnsi="VBHETH+FangSong_GB2312" w:cs="VBHETH+FangSong_GB2312"/>
          <w:color w:val="000000"/>
          <w:spacing w:val="12"/>
          <w:sz w:val="32"/>
        </w:rPr>
        <w:t>的炼铁项目可实施等量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置换；自本办法实施之日起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年内，建设碳减排比例不低于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高炉工艺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30%</w:t>
      </w:r>
      <w:r>
        <w:rPr>
          <w:rFonts w:ascii="VBHETH+FangSong_GB2312" w:hAnsi="VBHETH+FangSong_GB2312" w:cs="VBHETH+FangSong_GB2312"/>
          <w:color w:val="000000"/>
          <w:spacing w:val="-8"/>
          <w:sz w:val="32"/>
        </w:rPr>
        <w:t>的炼铁项目，炼铁产能置换比例不低于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1.25:1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（七）不改变冶炼设备类型、公称容量（积）、数量，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6"/>
          <w:sz w:val="32"/>
        </w:rPr>
        <w:t>在原厂界范围内大修的炼铁、炼钢项目，按原冶炼设备类型、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8"/>
          <w:sz w:val="32"/>
        </w:rPr>
        <w:t>公称容量（积）、数量置换，产能保持不变；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（八）青海、西藏地区建设的炼铁、炼钢项目可实施等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量置换。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第十一条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适用兼并重组置换比例政策，须完成实质性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602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5" w:id="br5"/>
      </w:r>
      <w:r>
        <w:bookmarkEnd w:id="br5"/>
      </w:r>
      <w:r>
        <w:rPr>
          <w:rFonts w:ascii="VBHETH+FangSong_GB2312" w:hAnsi="VBHETH+FangSong_GB2312" w:cs="VBHETH+FangSong_GB2312"/>
          <w:color w:val="000000"/>
          <w:spacing w:val="-6"/>
          <w:sz w:val="32"/>
        </w:rPr>
        <w:t>兼并重组，即钢铁冶炼企业之间依据《公司法》等法律法规，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实现实际控股、完成法人或法人隶属关系、股权关系、实际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控制人、章程等变更，但不包括同一企业（集团）将现有炼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铁、炼钢等工序（车间）拆分为多个法人后再兼并重组，或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6"/>
          <w:sz w:val="32"/>
        </w:rPr>
        <w:t>企业（集团）内部不同法人之间实施兼并重组。其中，炼铁、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炼钢工序属于同一企业（集团），且位于同一生产厂区、共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用公辅设施，但分属不同法人的，兼并重组时须整体兼并炼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铁、炼钢工序。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第十二条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9"/>
          <w:sz w:val="32"/>
        </w:rPr>
        <w:t>以下情形须报工业和信息化部“一事一议”：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（一）核定非高炉炼铁设备产能数量；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（二）论证提钒转炉建设必要性；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（三）核定回转窑</w:t>
      </w:r>
      <w:r>
        <w:rPr>
          <w:rFonts w:ascii="SimSun" w:hAnsi="SimSun" w:cs="SimSun"/>
          <w:color w:val="000000"/>
          <w:spacing w:val="2"/>
          <w:sz w:val="32"/>
        </w:rPr>
        <w:t>－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矿热炉（</w:t>
      </w:r>
      <w:r>
        <w:rPr>
          <w:rFonts w:ascii="CFHWHG+TimesNewRomanPSMT"/>
          <w:color w:val="000000"/>
          <w:spacing w:val="0"/>
          <w:sz w:val="32"/>
        </w:rPr>
        <w:t>RKEF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）产能数量；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（四）论证采用电渣重熔、真空自耗、真空感应等特殊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冶炼工艺，建设生产高端特殊钢的限制类及以下电炉必要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性；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（五）其他需要“一事一议”的情形。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14"/>
          <w:sz w:val="32"/>
        </w:rPr>
        <w:t>第十三条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3"/>
          <w:sz w:val="32"/>
        </w:rPr>
        <w:t>企业建设钢铁冶炼项目要科学研判供需形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4"/>
          <w:sz w:val="32"/>
        </w:rPr>
        <w:t>势，避免低效投资，制定产能置换方案（附件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CFHWHG+TimesNewRomanPSMT"/>
          <w:color w:val="000000"/>
          <w:spacing w:val="1"/>
          <w:sz w:val="32"/>
        </w:rPr>
        <w:t>4</w:t>
      </w:r>
      <w:r>
        <w:rPr>
          <w:rFonts w:ascii="VBHETH+FangSong_GB2312" w:hAnsi="VBHETH+FangSong_GB2312" w:cs="VBHETH+FangSong_GB2312"/>
          <w:color w:val="000000"/>
          <w:spacing w:val="-31"/>
          <w:sz w:val="32"/>
        </w:rPr>
        <w:t>），并明确以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下内容：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7"/>
          <w:sz w:val="32"/>
        </w:rPr>
        <w:t>（一）建设项目地点、企业名称，拟建的冶炼设备型号、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6"/>
          <w:sz w:val="32"/>
        </w:rPr>
        <w:t>数量、产能，计划开工和投产时间，建设产能涉及多台（座）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冶炼设备的，应逐一列明；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7"/>
          <w:sz w:val="32"/>
        </w:rPr>
        <w:t>（二）退出产能地点、企业名称，退出的冶炼设备型号、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数量、产能，拆除时间安排，退出产能涉及多台（座）冶炼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6" w:id="br6"/>
      </w:r>
      <w:r>
        <w:bookmarkEnd w:id="br6"/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设备的，应逐一列明；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4"/>
          <w:sz w:val="32"/>
        </w:rPr>
        <w:t>（三）退出产能数量须达到拟建产能置换所需数量要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求，不得出现“待定”等模糊表述。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第十四条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鼓励企业（集团）实施跨地区产能置换，各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有关地区不得限制或阻碍产能跨区域流动。企业实施跨省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（区、市）产能置换，退出产能为中央企业下属公司的，由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中央企业集团负责核实退出产能真实性、合规性，报国务院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国资委确认后，在中央企业官方网站向社会公示，并抄送退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出产能所在地省级工业和信息化主管部门；退出产能为非中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央企业的，由其所在地省级工业和信息化主管部门核实退出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3"/>
          <w:sz w:val="32"/>
        </w:rPr>
        <w:t>产能真实性、合规性，在官方网站向社会公示（附件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CFHWHG+TimesNewRomanPSMT"/>
          <w:color w:val="000000"/>
          <w:spacing w:val="1"/>
          <w:sz w:val="32"/>
        </w:rPr>
        <w:t>3</w:t>
      </w:r>
      <w:r>
        <w:rPr>
          <w:rFonts w:ascii="VBHETH+FangSong_GB2312" w:hAnsi="VBHETH+FangSong_GB2312" w:cs="VBHETH+FangSong_GB2312"/>
          <w:color w:val="000000"/>
          <w:spacing w:val="-61"/>
          <w:sz w:val="32"/>
        </w:rPr>
        <w:t>）。公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6"/>
          <w:sz w:val="32"/>
        </w:rPr>
        <w:t>示期限原则上不少于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15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个工作日，无异议后发布产能转出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方案公告。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14"/>
          <w:sz w:val="32"/>
        </w:rPr>
        <w:t>第十五条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3"/>
          <w:sz w:val="32"/>
        </w:rPr>
        <w:t>企业建设钢铁冶炼项目须将产能置换方案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报送建设项目所在地省级工业和信息化主管部门。省级工业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和信息化主管部门负责核实产能置换方案的真实性、合规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6"/>
          <w:sz w:val="32"/>
        </w:rPr>
        <w:t>性，在官方网站向社会公示，公示期限原则上不少于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15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个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工作日；公示期间收到异议的，应当在官方网站上对异议事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项进行公开说明后予以公告。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14"/>
          <w:sz w:val="32"/>
        </w:rPr>
        <w:t>第十六条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3"/>
          <w:sz w:val="32"/>
        </w:rPr>
        <w:t>产能置换方案公告后确有必要进行调整的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须严格执行变更程序。对已公告产能置换方案中，拟建或退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出冶炼设备型号、数量、产能变化，或建设项目企业、所在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省（区、市）发生变更的，建设项目企业须按照本办法重新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制定产能置换方案，其中涉及跨省（区、市）置换的，还应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7" w:id="br7"/>
      </w:r>
      <w:r>
        <w:bookmarkEnd w:id="br7"/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制定产能转出方案。省级工业和信息化主管部门（中央企业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集团）履行公示、公告等程序。变更后的产能置换方案公告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时，原产能置换方案须同时撤销。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对已公告产能置换方案中，建设项目企业名称、省内建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设地点等发生变化，但拟建或退出冶炼设备型号、数量、产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能等未发生实质性变化的产能置换方案，建设项目企业须函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告省级工业和信息化主管部门。省级工业和信息化主管部门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核实同意后须及时在官方网站作出说明。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第十七条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建设项目投产前，退出产能所在地省级工业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和信息化主管部门（所属中央企业）负责监督拆除用于置换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的退出设备，使其不具备恢复生产条件。企业按有关规定妥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善做好钢渣等固废处置。退出产能跨省（区、市）转出的，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退出产能所在地省级工业和信息化主管部门（所属中央企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业）应将退出设备拆除情况函告建设项目所在地省级工业和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信息化主管部门。对同一台冶炼设备产能拆分使用的情形，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建设项目投产时间以第一个建成投产项目的时间为准。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第十八条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项目建成投产前，建设项目所在地省级工业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和信息化主管部门负责组织核实产能置换方案执行情况。核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实内容包括：建设项目地点、企业名称，建成的冶炼设备型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号、数量、产能等与产能置换方案的一致性，以及退出设备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拆除情况。建设内容与产能置换方案核实一致的，省级工业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和信息化主管部门须在官方网站公布产能置换方案核实情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6"/>
          <w:sz w:val="32"/>
        </w:rPr>
        <w:t>况；不一致的须要求企业限期整改，整改未到位前不得投产。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14"/>
          <w:sz w:val="32"/>
        </w:rPr>
        <w:t>第十九条</w:t>
      </w:r>
      <w:r>
        <w:rPr>
          <w:rFonts w:ascii="Times New Roman"/>
          <w:color w:val="000000"/>
          <w:spacing w:val="26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3"/>
          <w:sz w:val="32"/>
        </w:rPr>
        <w:t>省级工业和信息化主管部门应按年度开展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612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8" w:id="br8"/>
      </w:r>
      <w:r>
        <w:bookmarkEnd w:id="br8"/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钢铁产能置换实施情况自查，自查报告于每年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31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日前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报工业和信息化部。工业和信息化部负责组织钢铁产能置换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政策实施情况抽查，按年度对外汇总公布全国钢铁产能置换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情况，接受社会各界监督。对抽查发现违反本办法规定的钢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铁产能置换方案，责令限期整改。对置换过程中存在违法违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规的，依照有关法律法规严肃处理。对核实工作把关不严、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监督落实不到位的省级工业和信息化主管部门和中央企业，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责令限期整改，视情进行通报。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6"/>
          <w:sz w:val="32"/>
        </w:rPr>
        <w:t>第二十条</w:t>
      </w:r>
      <w:r>
        <w:rPr>
          <w:rFonts w:ascii="Times New Roman"/>
          <w:color w:val="000000"/>
          <w:spacing w:val="251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钢铁产能置换方案有效期为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个月，具体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要求如下：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（一）按照本办法公告的产能置换方案，自公告之日起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4"/>
          <w:sz w:val="32"/>
        </w:rPr>
        <w:t>个月内须完成项目备案、节能审查和碳排放评价、环评等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5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6"/>
          <w:sz w:val="32"/>
        </w:rPr>
        <w:t>手续，且正式开工建设；超出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个月有效期的，省级工业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和信息化主管部门应在到期后的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个月内公告撤销原产能置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换方案；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40"/>
          <w:sz w:val="32"/>
        </w:rPr>
        <w:t>（二）对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FHWHG+TimesNewRomanPSMT"/>
          <w:color w:val="000000"/>
          <w:spacing w:val="1"/>
          <w:sz w:val="32"/>
        </w:rPr>
        <w:t>23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日之前已公告的产能置换方案，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6"/>
          <w:sz w:val="32"/>
        </w:rPr>
        <w:t>自本办法实施之日起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个月内须完成项目备案、节能审查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6"/>
          <w:sz w:val="32"/>
        </w:rPr>
        <w:t>和碳排放评价、环评等手续，且正式开工建设；超出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个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5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月的，省级工业和信息化主管部门应在到期后的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个月内公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告撤销原产能置换方案；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40"/>
          <w:sz w:val="32"/>
        </w:rPr>
        <w:t>（三）对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FHWHG+TimesNewRomanPSMT"/>
          <w:color w:val="000000"/>
          <w:spacing w:val="1"/>
          <w:sz w:val="32"/>
        </w:rPr>
        <w:t>23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日之前已公告的产能置换方案，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退出产能存在拆分情形且部分产能未落实到具体建设项目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6"/>
          <w:sz w:val="32"/>
        </w:rPr>
        <w:t>的，自本办法实施后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6"/>
          <w:sz w:val="32"/>
        </w:rPr>
        <w:t>个月内仍未实施产能置换落实到具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体项目的产能自动作废。作废产能由省级工业和信息化主管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34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602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9" w:id="br9"/>
      </w:r>
      <w:r>
        <w:bookmarkEnd w:id="br9"/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部门对外公布。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第二十一条</w:t>
      </w:r>
      <w:r>
        <w:rPr>
          <w:rFonts w:ascii="Times New Roman"/>
          <w:color w:val="000000"/>
          <w:spacing w:val="241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因产能置换办法修订出现的有关情况，按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以下原则处理：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9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2"/>
          <w:sz w:val="32"/>
        </w:rPr>
        <w:t>（一）</w:t>
      </w:r>
      <w:r>
        <w:rPr>
          <w:rFonts w:ascii="CFHWHG+TimesNewRomanPSMT"/>
          <w:color w:val="000000"/>
          <w:spacing w:val="-1"/>
          <w:sz w:val="32"/>
        </w:rPr>
        <w:t>2024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3"/>
          <w:sz w:val="32"/>
        </w:rPr>
        <w:t>日之前已经省级工业和信息化主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管部门公告的产能置换方案，可按原方案执行；已经公示或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3"/>
          <w:sz w:val="32"/>
        </w:rPr>
        <w:t>企业已向省级工业和信息化主管部门正式报送的产能置换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方案，可按原方案继续履行程序；其中，存在退出产能拆分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情形的，已落实到具体建设项目的退出产能按原方案执行，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未落实到具体建设项目的退出产能，按本办法实施产能置换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且一次性使用完毕；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2"/>
          <w:sz w:val="32"/>
        </w:rPr>
        <w:t>（二）</w:t>
      </w:r>
      <w:r>
        <w:rPr>
          <w:rFonts w:ascii="CFHWHG+TimesNewRomanPSMT"/>
          <w:color w:val="000000"/>
          <w:spacing w:val="-1"/>
          <w:sz w:val="32"/>
        </w:rPr>
        <w:t>2024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3"/>
          <w:sz w:val="32"/>
        </w:rPr>
        <w:t>日之前已经省级工业和信息化主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管部门公告、公示或企业已向省级工业和信息化主管部门正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式报送产能转出方案但未公示或公告产能置换方案的，退出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产能数量按原方案核定，按本办法实施产能置换；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2"/>
          <w:sz w:val="32"/>
        </w:rPr>
        <w:t>（三）对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1"/>
          <w:sz w:val="32"/>
        </w:rPr>
        <w:t>2024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日之前，企业自行签订钢铁产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5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能置换（出让）合同，且已支付金额不低于合同额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20%</w:t>
      </w:r>
      <w:r>
        <w:rPr>
          <w:rFonts w:ascii="VBHETH+FangSong_GB2312" w:hAnsi="VBHETH+FangSong_GB2312" w:cs="VBHETH+FangSong_GB2312"/>
          <w:color w:val="000000"/>
          <w:spacing w:val="-10"/>
          <w:sz w:val="32"/>
        </w:rPr>
        <w:t>，但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未公示或公告产能置换方案、产能转出方案的，经提供支付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5"/>
          <w:sz w:val="32"/>
        </w:rPr>
        <w:t>证明后，退出产能按工信部原〔</w:t>
      </w:r>
      <w:r>
        <w:rPr>
          <w:rFonts w:ascii="CFHWHG+TimesNewRomanPSMT"/>
          <w:color w:val="000000"/>
          <w:spacing w:val="0"/>
          <w:sz w:val="32"/>
        </w:rPr>
        <w:t>2021</w:t>
      </w:r>
      <w:r>
        <w:rPr>
          <w:rFonts w:ascii="VBHETH+FangSong_GB2312" w:hAnsi="VBHETH+FangSong_GB2312" w:cs="VBHETH+FangSong_GB2312"/>
          <w:color w:val="000000"/>
          <w:spacing w:val="-30"/>
          <w:sz w:val="32"/>
        </w:rPr>
        <w:t>〕</w:t>
      </w:r>
      <w:r>
        <w:rPr>
          <w:rFonts w:ascii="CFHWHG+TimesNewRomanPSMT"/>
          <w:color w:val="000000"/>
          <w:spacing w:val="-2"/>
          <w:sz w:val="32"/>
        </w:rPr>
        <w:t>46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号规定核定且不得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再次出让，按本办法实施产能置换；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2"/>
          <w:sz w:val="32"/>
        </w:rPr>
        <w:t>（四）</w:t>
      </w:r>
      <w:r>
        <w:rPr>
          <w:rFonts w:ascii="CFHWHG+TimesNewRomanPSMT"/>
          <w:color w:val="000000"/>
          <w:spacing w:val="-1"/>
          <w:sz w:val="32"/>
        </w:rPr>
        <w:t>2024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8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3"/>
          <w:sz w:val="32"/>
        </w:rPr>
        <w:t>日之前已经省级工业和信息化主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8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管部门公告的产能置换方案中，部分项目建设内容已实施完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毕，需对未实施部分的建设内容进行变更的，变更部分按本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办法执行。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3"/>
          <w:sz w:val="32"/>
        </w:rPr>
        <w:t>第二十二条</w:t>
      </w:r>
      <w:r>
        <w:rPr>
          <w:rFonts w:ascii="Times New Roman"/>
          <w:color w:val="000000"/>
          <w:spacing w:val="24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3"/>
          <w:sz w:val="32"/>
        </w:rPr>
        <w:t>建设项目应达到能效标杆和环保绩效</w:t>
      </w:r>
      <w:r>
        <w:rPr>
          <w:rFonts w:ascii="CFHWHG+TimesNewRomanPSMT"/>
          <w:color w:val="000000"/>
          <w:spacing w:val="2"/>
          <w:sz w:val="32"/>
        </w:rPr>
        <w:t>A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级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10" w:after="0" w:line="276" w:lineRule="exact"/>
        <w:ind w:left="409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10" w:id="br10"/>
      </w:r>
      <w:r>
        <w:bookmarkEnd w:id="br10"/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水平。发展改革、生态环境主管部门在办理项目环评、排污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许可证、节能审查和碳排放评价等相关手续时，同步实施主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要污染物排放、能源消耗和碳排放等量或减量置换。涉及跨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省（区、市）产能转出的，能源消耗指标、碳排放指标由项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目建设地统筹压减现有指标。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52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第二十三条</w:t>
      </w:r>
      <w:r>
        <w:rPr>
          <w:rFonts w:ascii="Times New Roman"/>
          <w:color w:val="000000"/>
          <w:spacing w:val="241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本办法自印发之日起施行，并结合产业发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9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展情况适时修订。《工业和信息化部关于印发钢铁行业产能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2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3"/>
          <w:sz w:val="32"/>
        </w:rPr>
        <w:t>置换实施办法的通知》（工信部原〔</w:t>
      </w:r>
      <w:r>
        <w:rPr>
          <w:rFonts w:ascii="CFHWHG+TimesNewRomanPSMT"/>
          <w:color w:val="000000"/>
          <w:spacing w:val="0"/>
          <w:sz w:val="32"/>
        </w:rPr>
        <w:t>2021</w:t>
      </w:r>
      <w:r>
        <w:rPr>
          <w:rFonts w:ascii="VBHETH+FangSong_GB2312" w:hAnsi="VBHETH+FangSong_GB2312" w:cs="VBHETH+FangSong_GB2312"/>
          <w:color w:val="000000"/>
          <w:spacing w:val="-25"/>
          <w:sz w:val="32"/>
        </w:rPr>
        <w:t>〕</w:t>
      </w:r>
      <w:r>
        <w:rPr>
          <w:rFonts w:ascii="CFHWHG+TimesNewRomanPSMT"/>
          <w:color w:val="000000"/>
          <w:spacing w:val="-2"/>
          <w:sz w:val="32"/>
        </w:rPr>
        <w:t>46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4"/>
          <w:sz w:val="32"/>
        </w:rPr>
        <w:t>号）同时废止。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796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附件：</w:t>
      </w:r>
      <w:r>
        <w:rPr>
          <w:rFonts w:ascii="CFHWHG+TimesNewRomanPSMT"/>
          <w:color w:val="000000"/>
          <w:spacing w:val="0"/>
          <w:sz w:val="32"/>
        </w:rPr>
        <w:t>1.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重点区域范围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160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0"/>
          <w:sz w:val="32"/>
        </w:rPr>
        <w:t>2.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产能折算表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18" w:after="0" w:line="363" w:lineRule="exact"/>
        <w:ind w:left="160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-1"/>
          <w:sz w:val="32"/>
        </w:rPr>
        <w:t>3.XX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企业产能转出方案公告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179" w:after="0" w:line="363" w:lineRule="exact"/>
        <w:ind w:left="160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-1"/>
          <w:sz w:val="32"/>
        </w:rPr>
        <w:t>4.XX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建设项目产能置换方案公告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6727" w:after="0" w:line="276" w:lineRule="exact"/>
        <w:ind w:left="403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612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bookmarkStart w:name="br11" w:id="br11"/>
      </w:r>
      <w:r>
        <w:bookmarkEnd w:id="br11"/>
      </w:r>
      <w:r>
        <w:rPr>
          <w:rFonts w:ascii="SimHei" w:hAnsi="SimHei" w:cs="SimHei"/>
          <w:color w:val="000000"/>
          <w:spacing w:val="-1"/>
          <w:sz w:val="32"/>
        </w:rPr>
        <w:t>附件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794" w:after="0" w:line="439" w:lineRule="exact"/>
        <w:ind w:left="3072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NUDFA+" w:hAnsi="SNUDFA+" w:cs="SNUDFA+"/>
          <w:color w:val="000000"/>
          <w:spacing w:val="0"/>
          <w:sz w:val="36"/>
        </w:rPr>
        <w:t>重点区域范围</w:t>
      </w:r>
      <w:r>
        <w:rPr>
          <w:rFonts w:ascii="Times New Roman"/>
          <w:color w:val="000000"/>
          <w:spacing w:val="0"/>
          <w:sz w:val="36"/>
        </w:rPr>
      </w:r>
    </w:p>
    <w:p>
      <w:pPr>
        <w:pStyle w:val="Normal"/>
        <w:spacing w:before="814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依据《国务院关于印发〈空气质量持续改善行动计划〉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61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26"/>
          <w:sz w:val="32"/>
        </w:rPr>
        <w:t>的通知》（国发〔</w:t>
      </w:r>
      <w:r>
        <w:rPr>
          <w:rFonts w:ascii="CFHWHG+TimesNewRomanPSMT"/>
          <w:color w:val="000000"/>
          <w:spacing w:val="0"/>
          <w:sz w:val="32"/>
        </w:rPr>
        <w:t>2023</w:t>
      </w:r>
      <w:r>
        <w:rPr>
          <w:rFonts w:ascii="VBHETH+FangSong_GB2312" w:hAnsi="VBHETH+FangSong_GB2312" w:cs="VBHETH+FangSong_GB2312"/>
          <w:color w:val="000000"/>
          <w:spacing w:val="-22"/>
          <w:sz w:val="32"/>
        </w:rPr>
        <w:t>〕</w:t>
      </w:r>
      <w:r>
        <w:rPr>
          <w:rFonts w:ascii="CFHWHG+TimesNewRomanPSMT"/>
          <w:color w:val="000000"/>
          <w:spacing w:val="-2"/>
          <w:sz w:val="32"/>
        </w:rPr>
        <w:t>24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2"/>
          <w:sz w:val="32"/>
        </w:rPr>
        <w:t>号），重点区域指京津冀及周边地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7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区、长三角地区、汾渭平原。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7"/>
          <w:sz w:val="32"/>
        </w:rPr>
        <w:t>京津冀及周边地区包含北京市，天津市，河北省石家庄、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唐山、秦皇岛、邯郸、邢台、保定、沧州、廊坊、衡水市以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及雄安新区和辛集、定州市，山东省济南、淄博、枣庄、东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营、潍坊、济宁、泰安、日照、临沂、德州、聊城、滨州、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菏泽市，河南省郑州、开封、洛阳、平顶山、安阳、鹤壁、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新乡、焦作、濮阳、许昌、漯河、三门峡、商丘、周口市以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及济源市。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长三角地区包含上海市，江苏省，浙江省杭州、宁波、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嘉兴、湖州、绍兴、舟山市，安徽省合肥、芜湖、蚌埠、淮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南、马鞍山、淮北、滁州、阜阳、宿州、六安、亳州市。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汾渭平原包含山西省太原、阳泉、长治、晋城、晋中、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运城、临汾、吕梁市，陕西省西安、铜川、宝鸡、咸阳、渭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71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南市以及杨凌农业高新技术产业示范区、韩城市。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258" w:after="0" w:line="276" w:lineRule="exact"/>
        <w:ind w:left="403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10"/>
          <w:sz w:val="24"/>
        </w:rPr>
        <w:t>11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619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1"/>
        </w:rPr>
      </w:pPr>
      <w:r>
        <w:bookmarkStart w:name="br12" w:id="br12"/>
      </w:r>
      <w:r>
        <w:bookmarkEnd w:id="br12"/>
      </w:r>
      <w:r>
        <w:rPr>
          <w:noProof w:val="on"/>
        </w:rPr>
        <w:pict>
          <v:shape xmlns:v="urn:schemas-microsoft-com:vml" id="_x00000" style="position:absolute;margin-left:88.8000030517578pt;margin-top:219pt;z-index:-3;width:418.600006103516pt;height:537.5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SimHei" w:hAnsi="SimHei" w:cs="SimHei"/>
          <w:color w:val="000000"/>
          <w:spacing w:val="2"/>
          <w:sz w:val="31"/>
        </w:rPr>
        <w:t>附件</w:t>
      </w:r>
      <w:r>
        <w:rPr>
          <w:rFonts w:ascii="Times New Roman"/>
          <w:color w:val="000000"/>
          <w:spacing w:val="-3"/>
          <w:sz w:val="31"/>
        </w:rPr>
        <w:t xml:space="preserve"> </w:t>
      </w:r>
      <w:r>
        <w:rPr>
          <w:rFonts w:ascii="CFHWHG+TimesNewRomanPSMT"/>
          <w:color w:val="000000"/>
          <w:spacing w:val="0"/>
          <w:sz w:val="31"/>
        </w:rPr>
        <w:t>2</w:t>
      </w:r>
      <w:r>
        <w:rPr>
          <w:rFonts w:ascii="Times New Roman"/>
          <w:color w:val="000000"/>
          <w:spacing w:val="0"/>
          <w:sz w:val="31"/>
        </w:rPr>
      </w:r>
    </w:p>
    <w:p>
      <w:pPr>
        <w:pStyle w:val="Normal"/>
        <w:spacing w:before="400" w:after="0" w:line="439" w:lineRule="exact"/>
        <w:ind w:left="3108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NUDFA+" w:hAnsi="SNUDFA+" w:cs="SNUDFA+"/>
          <w:color w:val="000000"/>
          <w:spacing w:val="0"/>
          <w:sz w:val="36"/>
        </w:rPr>
        <w:t>产能折算表</w:t>
      </w:r>
      <w:r>
        <w:rPr>
          <w:rFonts w:ascii="Times New Roman"/>
          <w:color w:val="000000"/>
          <w:spacing w:val="0"/>
          <w:sz w:val="36"/>
        </w:rPr>
      </w:r>
    </w:p>
    <w:p>
      <w:pPr>
        <w:pStyle w:val="Normal"/>
        <w:spacing w:before="445" w:after="0" w:line="329" w:lineRule="exact"/>
        <w:ind w:left="629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一、炼铁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85" w:after="0" w:line="363" w:lineRule="exact"/>
        <w:ind w:left="2129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表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24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高炉产能置换折算表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454" w:after="0" w:line="276" w:lineRule="exact"/>
        <w:ind w:left="40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0"/>
          <w:sz w:val="24"/>
        </w:rPr>
        <w:t>序号</w:t>
      </w:r>
      <w:r>
        <w:rPr>
          <w:rFonts w:ascii="Times New Roman"/>
          <w:color w:val="000000"/>
          <w:spacing w:val="1037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"/>
          <w:sz w:val="24"/>
        </w:rPr>
        <w:t>有效容积（立方米）</w:t>
      </w:r>
      <w:r>
        <w:rPr>
          <w:rFonts w:ascii="Times New Roman"/>
          <w:color w:val="000000"/>
          <w:spacing w:val="1370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"/>
          <w:sz w:val="24"/>
        </w:rPr>
        <w:t>产能（万吨</w:t>
      </w:r>
      <w:r>
        <w:rPr>
          <w:rFonts w:ascii="DJBACH+TimesNewRomanPS-BoldMT"/>
          <w:color w:val="000000"/>
          <w:spacing w:val="1"/>
          <w:sz w:val="24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年）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97" w:after="0" w:line="278" w:lineRule="exact"/>
        <w:ind w:left="60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088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420</w:t>
      </w:r>
      <w:r>
        <w:rPr>
          <w:rFonts w:ascii="Times New Roman"/>
          <w:color w:val="000000"/>
          <w:spacing w:val="304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50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58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110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450</w:t>
      </w:r>
      <w:r>
        <w:rPr>
          <w:rFonts w:ascii="Times New Roman"/>
          <w:color w:val="000000"/>
          <w:spacing w:val="304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55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81" w:lineRule="exact"/>
        <w:ind w:left="5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105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480</w:t>
      </w:r>
      <w:r>
        <w:rPr>
          <w:rFonts w:ascii="Times New Roman"/>
          <w:color w:val="000000"/>
          <w:spacing w:val="304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57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8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1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530</w:t>
      </w:r>
      <w:r>
        <w:rPr>
          <w:rFonts w:ascii="Times New Roman"/>
          <w:color w:val="000000"/>
          <w:spacing w:val="303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62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81" w:lineRule="exact"/>
        <w:ind w:left="5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11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550</w:t>
      </w:r>
      <w:r>
        <w:rPr>
          <w:rFonts w:ascii="Times New Roman"/>
          <w:color w:val="000000"/>
          <w:spacing w:val="303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65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78" w:lineRule="exact"/>
        <w:ind w:left="5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11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580</w:t>
      </w:r>
      <w:r>
        <w:rPr>
          <w:rFonts w:ascii="Times New Roman"/>
          <w:color w:val="000000"/>
          <w:spacing w:val="303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68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81" w:lineRule="exact"/>
        <w:ind w:left="5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110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600</w:t>
      </w:r>
      <w:r>
        <w:rPr>
          <w:rFonts w:ascii="Times New Roman"/>
          <w:color w:val="000000"/>
          <w:spacing w:val="304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70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105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630</w:t>
      </w:r>
      <w:r>
        <w:rPr>
          <w:rFonts w:ascii="Times New Roman"/>
          <w:color w:val="000000"/>
          <w:spacing w:val="304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73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2110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750</w:t>
      </w:r>
      <w:r>
        <w:rPr>
          <w:rFonts w:ascii="Times New Roman"/>
          <w:color w:val="000000"/>
          <w:spacing w:val="304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80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10</w:t>
      </w:r>
      <w:r>
        <w:rPr>
          <w:rFonts w:ascii="Times New Roman"/>
          <w:color w:val="000000"/>
          <w:spacing w:val="204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850</w:t>
      </w:r>
      <w:r>
        <w:rPr>
          <w:rFonts w:ascii="Times New Roman"/>
          <w:color w:val="000000"/>
          <w:spacing w:val="3035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90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10"/>
          <w:sz w:val="24"/>
        </w:rPr>
        <w:t>11</w:t>
      </w:r>
      <w:r>
        <w:rPr>
          <w:rFonts w:ascii="Times New Roman"/>
          <w:color w:val="000000"/>
          <w:spacing w:val="2011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1000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12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1080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104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78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13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1200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6"/>
          <w:sz w:val="24"/>
        </w:rPr>
        <w:t>113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14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1250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6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15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1280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6"/>
          <w:sz w:val="24"/>
        </w:rPr>
        <w:t>118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16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1350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122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17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1500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133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6" w:after="0" w:line="281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18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1580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137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19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1780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152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78" w:lineRule="exact"/>
        <w:ind w:left="5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20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2000</w:t>
      </w:r>
      <w:r>
        <w:rPr>
          <w:rFonts w:ascii="Times New Roman"/>
          <w:color w:val="000000"/>
          <w:spacing w:val="2943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170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5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21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2200</w:t>
      </w:r>
      <w:r>
        <w:rPr>
          <w:rFonts w:ascii="Times New Roman"/>
          <w:color w:val="000000"/>
          <w:spacing w:val="2943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187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5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22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2500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213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5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23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2580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215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533" w:after="0" w:line="276" w:lineRule="exact"/>
        <w:ind w:left="388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569" w:right="100" w:bottom="0" w:left="1944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276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bookmarkStart w:name="br13" w:id="br13"/>
      </w:r>
      <w:r>
        <w:bookmarkEnd w:id="br13"/>
      </w:r>
      <w:r>
        <w:rPr>
          <w:noProof w:val="on"/>
        </w:rPr>
        <w:pict>
          <v:shape xmlns:v="urn:schemas-microsoft-com:vml" id="_x00001" style="position:absolute;margin-left:88.8000030517578pt;margin-top:70.0999984741211pt;z-index:-7;width:418.600006103516pt;height:266.6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88.8000030517578pt;margin-top:525.900024414063pt;z-index:-11;width:418.600006103516pt;height:236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CFHWHG+TimesNewRomanPSMT"/>
          <w:color w:val="000000"/>
          <w:spacing w:val="-2"/>
          <w:sz w:val="24"/>
        </w:rPr>
        <w:t>24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2650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221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25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2750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229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26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2800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234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49" w:after="0" w:line="276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27</w:t>
      </w:r>
      <w:r>
        <w:rPr>
          <w:rFonts w:ascii="Times New Roman"/>
          <w:color w:val="000000"/>
          <w:spacing w:val="199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2850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238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6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28</w:t>
      </w:r>
      <w:r>
        <w:rPr>
          <w:rFonts w:ascii="Times New Roman"/>
          <w:color w:val="000000"/>
          <w:spacing w:val="199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3200</w:t>
      </w:r>
      <w:r>
        <w:rPr>
          <w:rFonts w:ascii="Times New Roman"/>
          <w:color w:val="000000"/>
          <w:spacing w:val="291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267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4" w:after="0" w:line="281" w:lineRule="exact"/>
        <w:ind w:left="66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29</w:t>
      </w:r>
      <w:r>
        <w:rPr>
          <w:rFonts w:ascii="Times New Roman"/>
          <w:color w:val="000000"/>
          <w:spacing w:val="199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3800</w:t>
      </w:r>
      <w:r>
        <w:rPr>
          <w:rFonts w:ascii="Times New Roman"/>
          <w:color w:val="000000"/>
          <w:spacing w:val="29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304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6" w:lineRule="exact"/>
        <w:ind w:left="67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30</w:t>
      </w:r>
      <w:r>
        <w:rPr>
          <w:rFonts w:ascii="Times New Roman"/>
          <w:color w:val="000000"/>
          <w:spacing w:val="1990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4000</w:t>
      </w:r>
      <w:r>
        <w:rPr>
          <w:rFonts w:ascii="Times New Roman"/>
          <w:color w:val="000000"/>
          <w:spacing w:val="29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320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67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31</w:t>
      </w:r>
      <w:r>
        <w:rPr>
          <w:rFonts w:ascii="Times New Roman"/>
          <w:color w:val="000000"/>
          <w:spacing w:val="1990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4350</w:t>
      </w:r>
      <w:r>
        <w:rPr>
          <w:rFonts w:ascii="Times New Roman"/>
          <w:color w:val="000000"/>
          <w:spacing w:val="29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347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67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32</w:t>
      </w:r>
      <w:r>
        <w:rPr>
          <w:rFonts w:ascii="Times New Roman"/>
          <w:color w:val="000000"/>
          <w:spacing w:val="1990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4747</w:t>
      </w:r>
      <w:r>
        <w:rPr>
          <w:rFonts w:ascii="Times New Roman"/>
          <w:color w:val="000000"/>
          <w:spacing w:val="29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379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67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33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5100</w:t>
      </w:r>
      <w:r>
        <w:rPr>
          <w:rFonts w:ascii="Times New Roman"/>
          <w:color w:val="000000"/>
          <w:spacing w:val="291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405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8" w:lineRule="exact"/>
        <w:ind w:left="67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34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5500</w:t>
      </w:r>
      <w:r>
        <w:rPr>
          <w:rFonts w:ascii="Times New Roman"/>
          <w:color w:val="000000"/>
          <w:spacing w:val="291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439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67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35</w:t>
      </w:r>
      <w:r>
        <w:rPr>
          <w:rFonts w:ascii="Times New Roman"/>
          <w:color w:val="000000"/>
          <w:spacing w:val="1997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5800</w:t>
      </w:r>
      <w:r>
        <w:rPr>
          <w:rFonts w:ascii="Times New Roman"/>
          <w:color w:val="000000"/>
          <w:spacing w:val="291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463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87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1"/>
          <w:sz w:val="24"/>
        </w:rPr>
        <w:t>备注：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97" w:after="0" w:line="312" w:lineRule="exact"/>
        <w:ind w:left="144" w:right="1767" w:firstLine="46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2"/>
          <w:sz w:val="24"/>
        </w:rPr>
        <w:t>1.</w:t>
      </w:r>
      <w:r>
        <w:rPr>
          <w:rFonts w:ascii="VBHETH+FangSong_GB2312" w:hAnsi="VBHETH+FangSong_GB2312" w:cs="VBHETH+FangSong_GB2312"/>
          <w:color w:val="000000"/>
          <w:spacing w:val="7"/>
          <w:sz w:val="24"/>
        </w:rPr>
        <w:t>高炉有效容积在上表中两档之间的，按插值法计算其产能。如：</w:t>
      </w:r>
      <w:r>
        <w:rPr>
          <w:rFonts w:ascii="CFHWHG+TimesNewRomanPSMT"/>
          <w:color w:val="000000"/>
          <w:spacing w:val="0"/>
          <w:sz w:val="24"/>
        </w:rPr>
        <w:t xml:space="preserve">1600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立方米高炉的产能为（</w:t>
      </w:r>
      <w:r>
        <w:rPr>
          <w:rFonts w:ascii="CFHWHG+TimesNewRomanPSMT"/>
          <w:color w:val="000000"/>
          <w:spacing w:val="0"/>
          <w:sz w:val="24"/>
        </w:rPr>
        <w:t>1600-1580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）</w:t>
      </w:r>
      <w:r>
        <w:rPr>
          <w:rFonts w:ascii="CFHWHG+TimesNewRomanPSMT" w:hAnsi="CFHWHG+TimesNewRomanPSMT" w:cs="CFHWHG+TimesNewRomanPSMT"/>
          <w:color w:val="000000"/>
          <w:spacing w:val="0"/>
          <w:sz w:val="24"/>
        </w:rPr>
        <w:t>÷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（</w:t>
      </w:r>
      <w:r>
        <w:rPr>
          <w:rFonts w:ascii="CFHWHG+TimesNewRomanPSMT"/>
          <w:color w:val="000000"/>
          <w:spacing w:val="0"/>
          <w:sz w:val="24"/>
        </w:rPr>
        <w:t>1780-1580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）</w:t>
      </w:r>
      <w:r>
        <w:rPr>
          <w:rFonts w:ascii="CFHWHG+TimesNewRomanPSMT" w:hAnsi="CFHWHG+TimesNewRomanPSMT" w:cs="CFHWHG+TimesNewRomanPSMT"/>
          <w:color w:val="000000"/>
          <w:spacing w:val="-1"/>
          <w:sz w:val="24"/>
        </w:rPr>
        <w:t>×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（</w:t>
      </w:r>
      <w:r>
        <w:rPr>
          <w:rFonts w:ascii="CFHWHG+TimesNewRomanPSMT"/>
          <w:color w:val="000000"/>
          <w:spacing w:val="0"/>
          <w:sz w:val="24"/>
        </w:rPr>
        <w:t>152-137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）</w:t>
      </w:r>
      <w:r>
        <w:rPr>
          <w:rFonts w:ascii="CFHWHG+TimesNewRomanPSMT"/>
          <w:color w:val="000000"/>
          <w:spacing w:val="0"/>
          <w:sz w:val="24"/>
        </w:rPr>
        <w:t>+137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15" w:after="0" w:line="276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建设高炉的有效容积须为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的整数倍。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686" w:after="0" w:line="329" w:lineRule="exact"/>
        <w:ind w:left="773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Hei" w:hAnsi="SimHei" w:cs="SimHei"/>
          <w:color w:val="000000"/>
          <w:spacing w:val="0"/>
          <w:sz w:val="32"/>
        </w:rPr>
        <w:t>二、炼钢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95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BPPSQW+KaiTi_GB2312" w:hAnsi="BPPSQW+KaiTi_GB2312" w:cs="BPPSQW+KaiTi_GB2312"/>
          <w:color w:val="000000"/>
          <w:spacing w:val="1"/>
          <w:sz w:val="32"/>
        </w:rPr>
        <w:t>（一）转炉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85" w:after="0" w:line="363" w:lineRule="exact"/>
        <w:ind w:left="2273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表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2</w:t>
      </w:r>
      <w:r>
        <w:rPr>
          <w:rFonts w:ascii="Times New Roman"/>
          <w:color w:val="000000"/>
          <w:spacing w:val="24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转炉产能置换折算表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382" w:after="0" w:line="276" w:lineRule="exact"/>
        <w:ind w:left="64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0"/>
          <w:sz w:val="24"/>
        </w:rPr>
        <w:t>序号</w:t>
      </w:r>
      <w:r>
        <w:rPr>
          <w:rFonts w:ascii="Times New Roman"/>
          <w:color w:val="000000"/>
          <w:spacing w:val="1322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"/>
          <w:sz w:val="24"/>
        </w:rPr>
        <w:t>公称容量（吨）</w:t>
      </w:r>
      <w:r>
        <w:rPr>
          <w:rFonts w:ascii="Times New Roman"/>
          <w:color w:val="000000"/>
          <w:spacing w:val="1526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1"/>
          <w:sz w:val="24"/>
        </w:rPr>
        <w:t>产能（万吨</w:t>
      </w:r>
      <w:r>
        <w:rPr>
          <w:rFonts w:ascii="DJBACH+TimesNewRomanPS-BoldMT"/>
          <w:color w:val="000000"/>
          <w:spacing w:val="1"/>
          <w:sz w:val="24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年）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310" w:after="0" w:line="281" w:lineRule="exact"/>
        <w:ind w:left="84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201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35</w:t>
      </w:r>
      <w:r>
        <w:rPr>
          <w:rFonts w:ascii="Times New Roman"/>
          <w:color w:val="000000"/>
          <w:spacing w:val="301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55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6" w:lineRule="exact"/>
        <w:ind w:left="8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22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40</w:t>
      </w:r>
      <w:r>
        <w:rPr>
          <w:rFonts w:ascii="Times New Roman"/>
          <w:color w:val="000000"/>
          <w:spacing w:val="301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60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78" w:lineRule="exact"/>
        <w:ind w:left="8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222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50</w:t>
      </w:r>
      <w:r>
        <w:rPr>
          <w:rFonts w:ascii="Times New Roman"/>
          <w:color w:val="000000"/>
          <w:spacing w:val="3005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76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6" w:lineRule="exact"/>
        <w:ind w:left="8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22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60</w:t>
      </w:r>
      <w:r>
        <w:rPr>
          <w:rFonts w:ascii="Times New Roman"/>
          <w:color w:val="000000"/>
          <w:spacing w:val="301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85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81" w:lineRule="exact"/>
        <w:ind w:left="82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218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70</w:t>
      </w:r>
      <w:r>
        <w:rPr>
          <w:rFonts w:ascii="Times New Roman"/>
          <w:color w:val="000000"/>
          <w:spacing w:val="3007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95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78" w:lineRule="exact"/>
        <w:ind w:left="82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222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80</w:t>
      </w:r>
      <w:r>
        <w:rPr>
          <w:rFonts w:ascii="Times New Roman"/>
          <w:color w:val="000000"/>
          <w:spacing w:val="2962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9" w:after="0" w:line="281" w:lineRule="exact"/>
        <w:ind w:left="8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22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90</w:t>
      </w:r>
      <w:r>
        <w:rPr>
          <w:rFonts w:ascii="Times New Roman"/>
          <w:color w:val="000000"/>
          <w:spacing w:val="296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82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17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86"/>
          <w:sz w:val="24"/>
        </w:rPr>
        <w:t xml:space="preserve"> </w:t>
      </w:r>
      <w:r>
        <w:rPr>
          <w:rFonts w:ascii="CFHWHG+TimesNewRomanPSMT"/>
          <w:color w:val="000000"/>
          <w:spacing w:val="-5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82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217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28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135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423" w:after="0" w:line="276" w:lineRule="exact"/>
        <w:ind w:left="403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581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276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bookmarkStart w:name="br14" w:id="br14"/>
      </w:r>
      <w:r>
        <w:bookmarkEnd w:id="br14"/>
      </w:r>
      <w:r>
        <w:rPr>
          <w:noProof w:val="on"/>
        </w:rPr>
        <w:pict>
          <v:shape xmlns:v="urn:schemas-microsoft-com:vml" id="_x00003" style="position:absolute;margin-left:88.8000030517578pt;margin-top:70.0999984741211pt;z-index:-15;width:418.600006103516pt;height:178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83.3499984741211pt;margin-top:408.049987792969pt;z-index:-19;width:429.350006103516pt;height:212.05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CFHWHG+TimesNewRomanPSMT"/>
          <w:color w:val="000000"/>
          <w:spacing w:val="-2"/>
          <w:sz w:val="24"/>
        </w:rPr>
        <w:t>10</w:t>
      </w:r>
      <w:r>
        <w:rPr>
          <w:rFonts w:ascii="Times New Roman"/>
          <w:color w:val="000000"/>
          <w:spacing w:val="2105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28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160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10"/>
          <w:sz w:val="24"/>
        </w:rPr>
        <w:t>11</w:t>
      </w:r>
      <w:r>
        <w:rPr>
          <w:rFonts w:ascii="Times New Roman"/>
          <w:color w:val="000000"/>
          <w:spacing w:val="211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180</w:t>
      </w:r>
      <w:r>
        <w:rPr>
          <w:rFonts w:ascii="Times New Roman"/>
          <w:color w:val="000000"/>
          <w:spacing w:val="28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190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12</w:t>
      </w:r>
      <w:r>
        <w:rPr>
          <w:rFonts w:ascii="Times New Roman"/>
          <w:color w:val="000000"/>
          <w:spacing w:val="2083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288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200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13</w:t>
      </w:r>
      <w:r>
        <w:rPr>
          <w:rFonts w:ascii="Times New Roman"/>
          <w:color w:val="000000"/>
          <w:spacing w:val="2083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210</w:t>
      </w:r>
      <w:r>
        <w:rPr>
          <w:rFonts w:ascii="Times New Roman"/>
          <w:color w:val="000000"/>
          <w:spacing w:val="288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210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6" w:after="0" w:line="276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14</w:t>
      </w:r>
      <w:r>
        <w:rPr>
          <w:rFonts w:ascii="Times New Roman"/>
          <w:color w:val="000000"/>
          <w:spacing w:val="2083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250</w:t>
      </w:r>
      <w:r>
        <w:rPr>
          <w:rFonts w:ascii="Times New Roman"/>
          <w:color w:val="000000"/>
          <w:spacing w:val="288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240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1" w:after="0" w:line="278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15</w:t>
      </w:r>
      <w:r>
        <w:rPr>
          <w:rFonts w:ascii="Times New Roman"/>
          <w:color w:val="000000"/>
          <w:spacing w:val="2083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260</w:t>
      </w:r>
      <w:r>
        <w:rPr>
          <w:rFonts w:ascii="Times New Roman"/>
          <w:color w:val="000000"/>
          <w:spacing w:val="288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250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49" w:after="0" w:line="276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16</w:t>
      </w:r>
      <w:r>
        <w:rPr>
          <w:rFonts w:ascii="Times New Roman"/>
          <w:color w:val="000000"/>
          <w:spacing w:val="20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28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300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63" w:after="0" w:line="276" w:lineRule="exact"/>
        <w:ind w:left="78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17</w:t>
      </w:r>
      <w:r>
        <w:rPr>
          <w:rFonts w:ascii="Times New Roman"/>
          <w:color w:val="000000"/>
          <w:spacing w:val="20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350</w:t>
      </w:r>
      <w:r>
        <w:rPr>
          <w:rFonts w:ascii="Times New Roman"/>
          <w:color w:val="000000"/>
          <w:spacing w:val="288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350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87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1"/>
          <w:sz w:val="24"/>
        </w:rPr>
        <w:t>备注：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31" w:after="0" w:line="276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1.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本表所指的公称容量是指转炉平均出钢量。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79" w:after="0" w:line="312" w:lineRule="exact"/>
        <w:ind w:left="144" w:right="1764" w:firstLine="46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2.</w:t>
      </w:r>
      <w:r>
        <w:rPr>
          <w:rFonts w:ascii="VBHETH+FangSong_GB2312" w:hAnsi="VBHETH+FangSong_GB2312" w:cs="VBHETH+FangSong_GB2312"/>
          <w:color w:val="000000"/>
          <w:spacing w:val="-1"/>
          <w:sz w:val="24"/>
        </w:rPr>
        <w:t xml:space="preserve">转炉公称容量在上表中两档之间的，按插值法计算其产能，建设转炉的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公称容量须为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10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的整数倍。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617" w:after="0" w:line="32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BPPSQW+KaiTi_GB2312" w:hAnsi="BPPSQW+KaiTi_GB2312" w:cs="BPPSQW+KaiTi_GB2312"/>
          <w:color w:val="000000"/>
          <w:spacing w:val="1"/>
          <w:sz w:val="32"/>
        </w:rPr>
        <w:t>（二）电炉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85" w:after="0" w:line="363" w:lineRule="exact"/>
        <w:ind w:left="2273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表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0"/>
          <w:sz w:val="32"/>
        </w:rPr>
        <w:t>3</w:t>
      </w:r>
      <w:r>
        <w:rPr>
          <w:rFonts w:ascii="Times New Roman"/>
          <w:color w:val="000000"/>
          <w:spacing w:val="240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电炉产能置换折算表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402" w:after="0" w:line="279" w:lineRule="exact"/>
        <w:ind w:left="72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AOGFFK+FZFSK--GBK1-0" w:hAnsi="AOGFFK+FZFSK--GBK1-0" w:cs="AOGFFK+FZFSK--GBK1-0"/>
          <w:color w:val="000000"/>
          <w:spacing w:val="0"/>
          <w:sz w:val="24"/>
        </w:rPr>
        <w:t>序号</w:t>
      </w:r>
      <w:r>
        <w:rPr>
          <w:rFonts w:ascii="Times New Roman"/>
          <w:color w:val="000000"/>
          <w:spacing w:val="1284"/>
          <w:sz w:val="24"/>
        </w:rPr>
        <w:t xml:space="preserve"> </w:t>
      </w:r>
      <w:r>
        <w:rPr>
          <w:rFonts w:ascii="AOGFFK+FZFSK--GBK1-0" w:hAnsi="AOGFFK+FZFSK--GBK1-0" w:cs="AOGFFK+FZFSK--GBK1-0"/>
          <w:color w:val="000000"/>
          <w:spacing w:val="1"/>
          <w:sz w:val="24"/>
        </w:rPr>
        <w:t>公称容量（吨）</w:t>
      </w:r>
      <w:r>
        <w:rPr>
          <w:rFonts w:ascii="Times New Roman"/>
          <w:color w:val="000000"/>
          <w:spacing w:val="1408"/>
          <w:sz w:val="24"/>
        </w:rPr>
        <w:t xml:space="preserve"> </w:t>
      </w:r>
      <w:r>
        <w:rPr>
          <w:rFonts w:ascii="AOGFFK+FZFSK--GBK1-0" w:hAnsi="AOGFFK+FZFSK--GBK1-0" w:cs="AOGFFK+FZFSK--GBK1-0"/>
          <w:color w:val="000000"/>
          <w:spacing w:val="0"/>
          <w:sz w:val="24"/>
        </w:rPr>
        <w:t>产能（万吨</w:t>
      </w:r>
      <w:r>
        <w:rPr>
          <w:rFonts w:ascii="DJBACH+TimesNewRomanPS-BoldMT"/>
          <w:color w:val="000000"/>
          <w:spacing w:val="1"/>
          <w:sz w:val="24"/>
        </w:rPr>
        <w:t>/</w:t>
      </w:r>
      <w:r>
        <w:rPr>
          <w:rFonts w:ascii="AOGFFK+FZFSK--GBK1-0" w:hAnsi="AOGFFK+FZFSK--GBK1-0" w:cs="AOGFFK+FZFSK--GBK1-0"/>
          <w:color w:val="000000"/>
          <w:spacing w:val="0"/>
          <w:sz w:val="24"/>
        </w:rPr>
        <w:t>年）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56" w:after="0" w:line="322" w:lineRule="exact"/>
        <w:ind w:left="84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18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40</w:t>
      </w:r>
      <w:r>
        <w:rPr>
          <w:rFonts w:ascii="Times New Roman"/>
          <w:color w:val="000000"/>
          <w:spacing w:val="2892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26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218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50</w:t>
      </w:r>
      <w:r>
        <w:rPr>
          <w:rFonts w:ascii="Times New Roman"/>
          <w:color w:val="000000"/>
          <w:spacing w:val="2892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36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18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60</w:t>
      </w:r>
      <w:r>
        <w:rPr>
          <w:rFonts w:ascii="Times New Roman"/>
          <w:color w:val="000000"/>
          <w:spacing w:val="2892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46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218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70</w:t>
      </w:r>
      <w:r>
        <w:rPr>
          <w:rFonts w:ascii="Times New Roman"/>
          <w:color w:val="000000"/>
          <w:spacing w:val="2892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50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184"/>
          <w:sz w:val="24"/>
        </w:rPr>
        <w:t xml:space="preserve"> </w:t>
      </w:r>
      <w:r>
        <w:rPr>
          <w:rFonts w:ascii="CFHWHG+TimesNewRomanPSMT"/>
          <w:color w:val="000000"/>
          <w:spacing w:val="-2"/>
          <w:sz w:val="24"/>
        </w:rPr>
        <w:t>80</w:t>
      </w:r>
      <w:r>
        <w:rPr>
          <w:rFonts w:ascii="Times New Roman"/>
          <w:color w:val="000000"/>
          <w:spacing w:val="2892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65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1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100</w:t>
      </w:r>
      <w:r>
        <w:rPr>
          <w:rFonts w:ascii="Times New Roman"/>
          <w:color w:val="000000"/>
          <w:spacing w:val="2831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75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21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120</w:t>
      </w:r>
      <w:r>
        <w:rPr>
          <w:rFonts w:ascii="Times New Roman"/>
          <w:color w:val="000000"/>
          <w:spacing w:val="2831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t>90</w:t>
      </w:r>
      <w:r>
        <w:rPr>
          <w:rFonts w:ascii="CFHWHG+TimesNewRomanPSMT" w:hAnsi="CFHWHG+TimesNewRomanPSMT" w:cs="CFHWHG+TimesNewRomanPSMT"/>
          <w:color w:val="000000"/>
          <w:spacing w:val="-2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1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140</w:t>
      </w:r>
      <w:r>
        <w:rPr>
          <w:rFonts w:ascii="Times New Roman"/>
          <w:color w:val="000000"/>
          <w:spacing w:val="2773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5"/>
          <w:sz w:val="24"/>
        </w:rPr>
        <w:t>110</w:t>
      </w:r>
      <w:r>
        <w:rPr>
          <w:rFonts w:ascii="CFHWHG+TimesNewRomanPSMT" w:hAnsi="CFHWHG+TimesNewRomanPSMT" w:cs="CFHWHG+TimesNewRomanPSMT"/>
          <w:color w:val="000000"/>
          <w:spacing w:val="-5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2124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150</w:t>
      </w:r>
      <w:r>
        <w:rPr>
          <w:rFonts w:ascii="Times New Roman"/>
          <w:color w:val="000000"/>
          <w:spacing w:val="2771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1"/>
          <w:sz w:val="24"/>
        </w:rPr>
        <w:t>120</w:t>
      </w:r>
      <w:r>
        <w:rPr>
          <w:rFonts w:ascii="CFHWHG+TimesNewRomanPSMT" w:hAnsi="CFHWHG+TimesNewRomanPSMT" w:cs="CFHWHG+TimesNewRomanPSMT"/>
          <w:color w:val="000000"/>
          <w:spacing w:val="-1"/>
          <w:sz w:val="24"/>
        </w:rPr>
        <w:cr>""</w:cr>
      </w:r>
      <w:r>
        <w:rPr>
          <w:rFonts w:ascii="CFHWHG+TimesNewRomanPSMT"/>
          <w:color w:val="000000"/>
          <w:spacing w:val="-2"/>
          <w:sz w:val="24"/>
        </w:rPr>
        <w:t>10</w:t>
      </w:r>
      <w:r>
        <w:rPr>
          <w:rFonts w:ascii="Times New Roman"/>
          <w:color w:val="000000"/>
          <w:spacing w:val="2069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160</w:t>
      </w:r>
      <w:r>
        <w:rPr>
          <w:rFonts w:ascii="Times New Roman"/>
          <w:color w:val="000000"/>
          <w:spacing w:val="2771"/>
          <w:sz w:val="24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1"/>
          <w:sz w:val="24"/>
        </w:rPr>
        <w:t>130</w:t>
      </w:r>
      <w:r>
        <w:rPr>
          <w:rFonts w:ascii="CFHWHG+TimesNewRomanPSMT" w:hAnsi="CFHWHG+TimesNewRomanPSMT" w:cs="CFHWHG+TimesNewRomanPSMT"/>
          <w:color w:val="000000"/>
          <w:spacing w:val="-1"/>
          <w:sz w:val="24"/>
        </w:rPr>
        <w:cr>""</w:cr>
      </w:r>
      <w:r>
        <w:rPr>
          <w:rFonts w:ascii="Times New Roman"/>
          <w:color w:val="000000"/>
          <w:spacing w:val="-53"/>
          <w:sz w:val="24"/>
        </w:rPr>
        <w:t xml:space="preserve"> </w:t>
      </w:r>
      <w:r>
        <w:rPr>
          <w:rFonts w:ascii="CFHWHG+TimesNewRomanPSMT"/>
          <w:color w:val="000000"/>
          <w:spacing w:val="-10"/>
          <w:sz w:val="24"/>
        </w:rPr>
        <w:t>11</w:t>
      </w:r>
      <w:r>
        <w:rPr>
          <w:rFonts w:ascii="Times New Roman"/>
          <w:color w:val="000000"/>
          <w:spacing w:val="2076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220</w:t>
      </w:r>
      <w:r>
        <w:rPr>
          <w:rFonts w:ascii="Times New Roman"/>
          <w:color w:val="000000"/>
          <w:spacing w:val="2771"/>
          <w:sz w:val="24"/>
        </w:rPr>
        <w:t xml:space="preserve"> </w:t>
      </w:r>
      <w:r>
        <w:rPr>
          <w:rFonts w:ascii="CFHWHG+TimesNewRomanPSMT"/>
          <w:color w:val="000000"/>
          <w:spacing w:val="-1"/>
          <w:sz w:val="24"/>
        </w:rPr>
        <w:t>180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7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0"/>
          <w:sz w:val="24"/>
        </w:rPr>
        <w:t>备注</w:t>
      </w:r>
      <w:r>
        <w:rPr>
          <w:rFonts w:ascii="FangSong" w:hAnsi="FangSong" w:cs="FangSong"/>
          <w:color w:val="000000"/>
          <w:spacing w:val="0"/>
          <w:sz w:val="24"/>
        </w:rPr>
        <w:t>：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14" w:after="0" w:line="31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42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1.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本表所指的公称容量是指电炉平均出钢量。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cr>""</w:cr>
      </w:r>
      <w:r>
        <w:rPr>
          <w:rFonts w:ascii="Times New Roman"/>
          <w:color w:val="000000"/>
          <w:spacing w:val="42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2.</w:t>
      </w:r>
      <w:r>
        <w:rPr>
          <w:rFonts w:ascii="VBHETH+FangSong_GB2312" w:hAnsi="VBHETH+FangSong_GB2312" w:cs="VBHETH+FangSong_GB2312"/>
          <w:color w:val="000000"/>
          <w:spacing w:val="-1"/>
          <w:sz w:val="24"/>
        </w:rPr>
        <w:t>电炉公称容量在上表中两档之间的，按插值法计算其产能，建设电炉的公</w:t>
      </w:r>
      <w:r>
        <w:rPr>
          <w:rFonts w:ascii="VBHETH+FangSong_GB2312" w:hAnsi="VBHETH+FangSong_GB2312" w:cs="VBHETH+FangSong_GB2312"/>
          <w:color w:val="000000"/>
          <w:spacing w:val="-1"/>
          <w:sz w:val="24"/>
        </w:rPr>
        <w:cr>""</w:cr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称容量须为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FHWHG+TimesNewRomanPS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的整数倍。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894" w:after="0" w:line="276" w:lineRule="exact"/>
        <w:ind w:left="403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14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579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53" w:lineRule="exact"/>
        <w:ind w:left="53" w:right="0" w:firstLine="0"/>
        <w:jc w:val="left"/>
        <w:rPr>
          <w:rFonts w:ascii="Times New Roman"/>
          <w:color w:val="000000"/>
          <w:spacing w:val="0"/>
          <w:sz w:val="31"/>
        </w:rPr>
      </w:pPr>
      <w:r>
        <w:bookmarkStart w:name="br15" w:id="br15"/>
      </w:r>
      <w:r>
        <w:bookmarkEnd w:id="br15"/>
      </w:r>
      <w:r>
        <w:rPr>
          <w:noProof w:val="on"/>
        </w:rPr>
        <w:pict>
          <v:shape xmlns:v="urn:schemas-microsoft-com:vml" id="_x00005" style="position:absolute;margin-left:83.3499984741211pt;margin-top:231.850006103516pt;z-index:-23;width:429.350006103516pt;height:117.59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SimHei" w:hAnsi="SimHei" w:cs="SimHei"/>
          <w:color w:val="000000"/>
          <w:spacing w:val="0"/>
          <w:sz w:val="31"/>
        </w:rPr>
        <w:t>附件</w:t>
      </w:r>
      <w:r>
        <w:rPr>
          <w:rFonts w:ascii="Times New Roman"/>
          <w:color w:val="000000"/>
          <w:spacing w:val="-1"/>
          <w:sz w:val="31"/>
        </w:rPr>
        <w:t xml:space="preserve"> </w:t>
      </w:r>
      <w:r>
        <w:rPr>
          <w:rFonts w:ascii="CFHWHG+TimesNewRomanPSMT"/>
          <w:color w:val="000000"/>
          <w:spacing w:val="0"/>
          <w:sz w:val="31"/>
        </w:rPr>
        <w:t>3</w:t>
      </w:r>
      <w:r>
        <w:rPr>
          <w:rFonts w:ascii="Times New Roman"/>
          <w:color w:val="000000"/>
          <w:spacing w:val="0"/>
          <w:sz w:val="31"/>
        </w:rPr>
      </w:r>
    </w:p>
    <w:p>
      <w:pPr>
        <w:pStyle w:val="Normal"/>
        <w:spacing w:before="397" w:after="0" w:line="439" w:lineRule="exact"/>
        <w:ind w:left="205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CFHWHG+TimesNewRomanPSMT"/>
          <w:color w:val="000000"/>
          <w:spacing w:val="-1"/>
          <w:sz w:val="36"/>
        </w:rPr>
        <w:t>XX</w:t>
      </w:r>
      <w:r>
        <w:rPr>
          <w:rFonts w:ascii="Times New Roman"/>
          <w:color w:val="000000"/>
          <w:spacing w:val="-1"/>
          <w:sz w:val="36"/>
        </w:rPr>
        <w:t xml:space="preserve"> </w:t>
      </w:r>
      <w:r>
        <w:rPr>
          <w:rFonts w:ascii="SNUDFA+" w:hAnsi="SNUDFA+" w:cs="SNUDFA+"/>
          <w:color w:val="000000"/>
          <w:spacing w:val="0"/>
          <w:sz w:val="36"/>
        </w:rPr>
        <w:t>企业产能转出方案公告</w:t>
      </w:r>
      <w:r>
        <w:rPr>
          <w:rFonts w:ascii="Times New Roman"/>
          <w:color w:val="000000"/>
          <w:spacing w:val="0"/>
          <w:sz w:val="36"/>
        </w:rPr>
      </w:r>
    </w:p>
    <w:p>
      <w:pPr>
        <w:pStyle w:val="Normal"/>
        <w:spacing w:before="295" w:after="0" w:line="363" w:lineRule="exact"/>
        <w:ind w:left="622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1"/>
          <w:sz w:val="31"/>
        </w:rPr>
        <w:t>依据</w:t>
      </w:r>
      <w:r>
        <w:rPr>
          <w:rFonts w:ascii="VBHETH+FangSong_GB2312" w:hAnsi="VBHETH+FangSong_GB2312" w:cs="VBHETH+FangSong_GB2312"/>
          <w:color w:val="000000"/>
          <w:spacing w:val="1"/>
          <w:sz w:val="32"/>
        </w:rPr>
        <w:t>《钢铁行业产能置换实施办法》要求，现将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企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47" w:after="0" w:line="32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业产能转出情况予以公告，欢迎社会各界监督。联系电话：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61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</w:t>
      </w:r>
      <w:r>
        <w:rPr>
          <w:rFonts w:ascii="CFHWHG+TimesNewRomanPSMT"/>
          <w:color w:val="000000"/>
          <w:spacing w:val="0"/>
          <w:sz w:val="32"/>
        </w:rPr>
        <w:t>xxxx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）</w:t>
      </w:r>
      <w:r>
        <w:rPr>
          <w:rFonts w:ascii="CFHWHG+TimesNewRomanPSMT"/>
          <w:color w:val="000000"/>
          <w:spacing w:val="0"/>
          <w:sz w:val="32"/>
        </w:rPr>
        <w:t>xxxxxxxxxxxx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82" w:after="61" w:line="219" w:lineRule="exact"/>
        <w:ind w:left="35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1"/>
          <w:sz w:val="21"/>
        </w:rPr>
        <w:t>转出产能情况</w:t>
      </w:r>
      <w:r>
        <w:rPr>
          <w:rFonts w:ascii="Times New Roman"/>
          <w:color w:val="000000"/>
          <w:spacing w:val="0"/>
          <w:sz w:val="21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858"/>
        <w:gridCol w:w="20"/>
        <w:gridCol w:w="748"/>
        <w:gridCol w:w="20"/>
        <w:gridCol w:w="662"/>
        <w:gridCol w:w="20"/>
        <w:gridCol w:w="760"/>
        <w:gridCol w:w="20"/>
        <w:gridCol w:w="3277"/>
        <w:gridCol w:w="0"/>
      </w:tblGrid>
      <w:tr>
        <w:trPr>
          <w:trHeight w:val="1027" w:hRule="atLeast"/>
        </w:trPr>
        <w:tc>
          <w:tcPr>
            <w:tcW w:w="85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37" w:after="0" w:line="209" w:lineRule="exact"/>
              <w:ind w:left="175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省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（区、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7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市）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4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74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企业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名称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66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410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地址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6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统一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社会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信用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代码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327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32" w:after="0" w:line="209" w:lineRule="exact"/>
              <w:ind w:left="1603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冶炼设备情况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369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类别</w:t>
            </w:r>
            <w:r>
              <w:rPr>
                <w:rFonts w:ascii="Times New Roman"/>
                <w:color w:val="000000"/>
                <w:spacing w:val="447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型号</w:t>
            </w:r>
            <w:r>
              <w:rPr>
                <w:rFonts w:ascii="Times New Roman"/>
                <w:color w:val="000000"/>
                <w:spacing w:val="485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单位</w:t>
            </w:r>
            <w:r>
              <w:rPr>
                <w:rFonts w:ascii="Times New Roman"/>
                <w:color w:val="000000"/>
                <w:spacing w:val="437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数量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</w:tr>
    </w:tbl>
    <w:p>
      <w:pPr>
        <w:pStyle w:val="Normal"/>
        <w:spacing w:before="0" w:after="0" w:line="271" w:lineRule="exact"/>
        <w:ind w:left="800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0"/>
          <w:sz w:val="21"/>
        </w:rPr>
        <w:t>备</w:t>
      </w:r>
      <w:r>
        <w:rPr>
          <w:rFonts w:ascii="VBHETH+FangSong_GB2312" w:hAnsi="VBHETH+FangSong_GB2312" w:cs="VBHETH+FangSong_GB2312"/>
          <w:color w:val="000000"/>
          <w:spacing w:val="0"/>
          <w:sz w:val="21"/>
        </w:rPr>
        <w:cr>""</w:cr>
      </w:r>
      <w:r>
        <w:rPr>
          <w:rFonts w:ascii="VBHETH+FangSong_GB2312" w:hAnsi="VBHETH+FangSong_GB2312" w:cs="VBHETH+FangSong_GB2312"/>
          <w:color w:val="000000"/>
          <w:spacing w:val="0"/>
          <w:sz w:val="21"/>
        </w:rPr>
        <w:t>注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0" w:after="0" w:line="219" w:lineRule="exact"/>
        <w:ind w:left="695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-1"/>
          <w:sz w:val="21"/>
        </w:rPr>
        <w:t>产能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4" w:after="0" w:line="283" w:lineRule="exact"/>
        <w:ind w:left="70" w:right="2225" w:firstLine="6557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0"/>
          <w:sz w:val="21"/>
        </w:rPr>
        <w:t>（万吨</w:t>
      </w:r>
      <w:r>
        <w:rPr>
          <w:rFonts w:ascii="CFHWHG+TimesNewRomanPSMT"/>
          <w:color w:val="000000"/>
          <w:spacing w:val="-1"/>
          <w:sz w:val="21"/>
        </w:rPr>
        <w:t>/</w:t>
      </w:r>
      <w:r>
        <w:rPr>
          <w:rFonts w:ascii="VBHETH+FangSong_GB2312" w:hAnsi="VBHETH+FangSong_GB2312" w:cs="VBHETH+FangSong_GB2312"/>
          <w:color w:val="000000"/>
          <w:spacing w:val="1"/>
          <w:sz w:val="21"/>
        </w:rPr>
        <w:t xml:space="preserve">年） </w:t>
      </w:r>
      <w:r>
        <w:rPr>
          <w:rFonts w:ascii="VBHETH+FangSong_GB2312" w:hAnsi="VBHETH+FangSong_GB2312" w:cs="VBHETH+FangSong_GB2312"/>
          <w:color w:val="000000"/>
          <w:spacing w:val="-1"/>
          <w:sz w:val="21"/>
        </w:rPr>
        <w:t>示例</w:t>
      </w:r>
      <w:r>
        <w:rPr>
          <w:rFonts w:ascii="Times New Roman"/>
          <w:color w:val="000000"/>
          <w:spacing w:val="432"/>
          <w:sz w:val="21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1"/>
          <w:sz w:val="21"/>
        </w:rPr>
        <w:t>××</w:t>
      </w:r>
      <w:r>
        <w:rPr>
          <w:rFonts w:ascii="Times New Roman"/>
          <w:color w:val="000000"/>
          <w:spacing w:val="1848"/>
          <w:sz w:val="21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21"/>
        </w:rPr>
        <w:t>高炉</w:t>
      </w:r>
      <w:r>
        <w:rPr>
          <w:rFonts w:ascii="Times New Roman"/>
          <w:color w:val="000000"/>
          <w:spacing w:val="447"/>
          <w:sz w:val="21"/>
        </w:rPr>
        <w:t xml:space="preserve"> </w:t>
      </w:r>
      <w:r>
        <w:rPr>
          <w:rFonts w:ascii="CFHWHG+TimesNewRomanPSMT"/>
          <w:color w:val="000000"/>
          <w:spacing w:val="-1"/>
          <w:sz w:val="21"/>
        </w:rPr>
        <w:t>1280</w:t>
      </w:r>
      <w:r>
        <w:rPr>
          <w:rFonts w:ascii="Times New Roman"/>
          <w:color w:val="000000"/>
          <w:spacing w:val="384"/>
          <w:sz w:val="21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21"/>
        </w:rPr>
        <w:t>立方米</w:t>
      </w:r>
      <w:r>
        <w:rPr>
          <w:rFonts w:ascii="Times New Roman"/>
          <w:color w:val="000000"/>
          <w:spacing w:val="419"/>
          <w:sz w:val="21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1"/>
          <w:sz w:val="21"/>
        </w:rPr>
        <w:t>××</w:t>
      </w:r>
      <w:r>
        <w:rPr>
          <w:rFonts w:ascii="Times New Roman"/>
          <w:color w:val="000000"/>
          <w:spacing w:val="778"/>
          <w:sz w:val="21"/>
        </w:rPr>
        <w:t xml:space="preserve"> </w:t>
      </w:r>
      <w:r>
        <w:rPr>
          <w:rFonts w:ascii="CFHWHG+TimesNewRomanPSMT" w:hAnsi="CFHWHG+TimesNewRomanPSMT" w:cs="CFHWHG+TimesNewRomanPSMT"/>
          <w:color w:val="000000"/>
          <w:spacing w:val="-1"/>
          <w:sz w:val="21"/>
        </w:rPr>
        <w:t>××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39" w:after="0" w:line="241" w:lineRule="exact"/>
        <w:ind w:left="20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CFHWHG+TimesNewRomanPSMT"/>
          <w:color w:val="000000"/>
          <w:spacing w:val="-1"/>
          <w:sz w:val="21"/>
        </w:rPr>
        <w:t>...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48" w:after="0" w:line="219" w:lineRule="exact"/>
        <w:ind w:left="7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1"/>
          <w:sz w:val="21"/>
        </w:rPr>
        <w:t>合计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146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1"/>
          <w:sz w:val="24"/>
        </w:rPr>
        <w:t>备注：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34" w:after="0" w:line="276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1.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类别是指：高炉、转炉、电炉、脱磷转炉、</w:t>
      </w:r>
      <w:r>
        <w:rPr>
          <w:rFonts w:ascii="CFHWHG+TimesNewRomanPSMT"/>
          <w:color w:val="000000"/>
          <w:spacing w:val="-1"/>
          <w:sz w:val="24"/>
        </w:rPr>
        <w:t>AOD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炉等。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15" w:after="0" w:line="276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型号是指：容积、容量等。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79" w:after="0" w:line="312" w:lineRule="exact"/>
        <w:ind w:left="144" w:right="1762" w:firstLine="46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3.</w:t>
      </w:r>
      <w:r>
        <w:rPr>
          <w:rFonts w:ascii="VBHETH+FangSong_GB2312" w:hAnsi="VBHETH+FangSong_GB2312" w:cs="VBHETH+FangSong_GB2312"/>
          <w:color w:val="000000"/>
          <w:spacing w:val="-12"/>
          <w:sz w:val="24"/>
        </w:rPr>
        <w:t>单位是指：立方米（高炉）、吨（转炉</w:t>
      </w:r>
      <w:r>
        <w:rPr>
          <w:rFonts w:ascii="CFHWHG+TimesNewRomanPSMT"/>
          <w:color w:val="000000"/>
          <w:spacing w:val="1"/>
          <w:sz w:val="24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电炉</w:t>
      </w:r>
      <w:r>
        <w:rPr>
          <w:rFonts w:ascii="CFHWHG+TimesNewRomanPSMT"/>
          <w:color w:val="000000"/>
          <w:spacing w:val="1"/>
          <w:sz w:val="24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脱磷转炉</w:t>
      </w:r>
      <w:r>
        <w:rPr>
          <w:rFonts w:ascii="CFHWHG+TimesNewRomanPSMT"/>
          <w:color w:val="000000"/>
          <w:spacing w:val="0"/>
          <w:sz w:val="24"/>
        </w:rPr>
        <w:t>/AOD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23"/>
          <w:sz w:val="24"/>
        </w:rPr>
        <w:t xml:space="preserve">炉）、千伏安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（矿热炉）等。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6813" w:after="0" w:line="276" w:lineRule="exact"/>
        <w:ind w:left="403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20"/>
          <w:pgMar w:top="1569" w:right="100" w:bottom="0" w:left="1800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53" w:lineRule="exact"/>
        <w:ind w:left="50" w:right="0" w:firstLine="0"/>
        <w:jc w:val="left"/>
        <w:rPr>
          <w:rFonts w:ascii="Times New Roman"/>
          <w:color w:val="000000"/>
          <w:spacing w:val="0"/>
          <w:sz w:val="31"/>
        </w:rPr>
      </w:pPr>
      <w:r>
        <w:bookmarkStart w:name="br16" w:id="br16"/>
      </w:r>
      <w:r>
        <w:bookmarkEnd w:id="br16"/>
      </w:r>
      <w:r>
        <w:rPr>
          <w:noProof w:val="on"/>
        </w:rPr>
        <w:pict>
          <v:shape xmlns:v="urn:schemas-microsoft-com:vml" id="_x00006" style="position:absolute;margin-left:83.3499984741211pt;margin-top:250.100006103516pt;z-index:-27;width:429.350006103516pt;height:300.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SimHei" w:hAnsi="SimHei" w:cs="SimHei"/>
          <w:color w:val="000000"/>
          <w:spacing w:val="0"/>
          <w:sz w:val="31"/>
        </w:rPr>
        <w:t>附件</w:t>
      </w:r>
      <w:r>
        <w:rPr>
          <w:rFonts w:ascii="Times New Roman"/>
          <w:color w:val="000000"/>
          <w:spacing w:val="2"/>
          <w:sz w:val="31"/>
        </w:rPr>
        <w:t xml:space="preserve"> </w:t>
      </w:r>
      <w:r>
        <w:rPr>
          <w:rFonts w:ascii="CFHWHG+TimesNewRomanPSMT"/>
          <w:color w:val="000000"/>
          <w:spacing w:val="0"/>
          <w:sz w:val="31"/>
        </w:rPr>
        <w:t>4</w:t>
      </w:r>
      <w:r>
        <w:rPr>
          <w:rFonts w:ascii="Times New Roman"/>
          <w:color w:val="000000"/>
          <w:spacing w:val="0"/>
          <w:sz w:val="31"/>
        </w:rPr>
      </w:r>
    </w:p>
    <w:p>
      <w:pPr>
        <w:pStyle w:val="Normal"/>
        <w:spacing w:before="196" w:after="0" w:line="439" w:lineRule="exact"/>
        <w:ind w:left="169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CFHWHG+TimesNewRomanPSMT"/>
          <w:color w:val="000000"/>
          <w:spacing w:val="-1"/>
          <w:sz w:val="36"/>
        </w:rPr>
        <w:t>XX</w:t>
      </w:r>
      <w:r>
        <w:rPr>
          <w:rFonts w:ascii="Times New Roman"/>
          <w:color w:val="000000"/>
          <w:spacing w:val="-1"/>
          <w:sz w:val="36"/>
        </w:rPr>
        <w:t xml:space="preserve"> </w:t>
      </w:r>
      <w:r>
        <w:rPr>
          <w:rFonts w:ascii="SNUDFA+" w:hAnsi="SNUDFA+" w:cs="SNUDFA+"/>
          <w:color w:val="000000"/>
          <w:spacing w:val="0"/>
          <w:sz w:val="36"/>
        </w:rPr>
        <w:t>建设项目产能置换方案公告</w:t>
      </w:r>
      <w:r>
        <w:rPr>
          <w:rFonts w:ascii="Times New Roman"/>
          <w:color w:val="000000"/>
          <w:spacing w:val="0"/>
          <w:sz w:val="36"/>
        </w:rPr>
      </w:r>
    </w:p>
    <w:p>
      <w:pPr>
        <w:pStyle w:val="Normal"/>
        <w:spacing w:before="204" w:after="0" w:line="363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按照《钢铁行业产能置换实施办法》要求，现将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建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7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0"/>
          <w:sz w:val="32"/>
        </w:rPr>
        <w:t>设项目产能置换方案予以公告。方案有效期为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7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日至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CFHWHG+TimesNewRomanPSMT"/>
          <w:color w:val="000000"/>
          <w:spacing w:val="-2"/>
          <w:sz w:val="32"/>
        </w:rPr>
        <w:t>xx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32"/>
        </w:rPr>
        <w:t>日。欢迎社会各界监督。联系电话：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237" w:after="0" w:line="36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（</w:t>
      </w:r>
      <w:r>
        <w:rPr>
          <w:rFonts w:ascii="CFHWHG+TimesNewRomanPSMT"/>
          <w:color w:val="000000"/>
          <w:spacing w:val="0"/>
          <w:sz w:val="32"/>
        </w:rPr>
        <w:t>xxxx</w:t>
      </w:r>
      <w:r>
        <w:rPr>
          <w:rFonts w:ascii="VBHETH+FangSong_GB2312" w:hAnsi="VBHETH+FangSong_GB2312" w:cs="VBHETH+FangSong_GB2312"/>
          <w:color w:val="000000"/>
          <w:spacing w:val="-1"/>
          <w:sz w:val="32"/>
        </w:rPr>
        <w:t>）</w:t>
      </w:r>
      <w:r>
        <w:rPr>
          <w:rFonts w:ascii="CFHWHG+TimesNewRomanPSMT"/>
          <w:color w:val="000000"/>
          <w:spacing w:val="0"/>
          <w:sz w:val="32"/>
        </w:rPr>
        <w:t>xxxxxxxxxxxx</w:t>
      </w:r>
      <w:r>
        <w:rPr>
          <w:rFonts w:ascii="Times New Roman"/>
          <w:color w:val="000000"/>
          <w:spacing w:val="0"/>
          <w:sz w:val="32"/>
        </w:rPr>
      </w:r>
    </w:p>
    <w:p>
      <w:pPr>
        <w:pStyle w:val="Normal"/>
        <w:spacing w:before="94" w:after="61" w:line="219" w:lineRule="exact"/>
        <w:ind w:left="35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1"/>
          <w:sz w:val="21"/>
        </w:rPr>
        <w:t>建设项目情况</w:t>
      </w:r>
      <w:r>
        <w:rPr>
          <w:rFonts w:ascii="Times New Roman"/>
          <w:color w:val="000000"/>
          <w:spacing w:val="0"/>
          <w:sz w:val="21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45"/>
        <w:gridCol w:w="20"/>
        <w:gridCol w:w="4161"/>
        <w:gridCol w:w="20"/>
        <w:gridCol w:w="87"/>
        <w:gridCol w:w="710"/>
        <w:gridCol w:w="20"/>
        <w:gridCol w:w="654"/>
        <w:gridCol w:w="20"/>
        <w:gridCol w:w="635"/>
        <w:gridCol w:w="20"/>
        <w:gridCol w:w="498"/>
        <w:gridCol w:w="0"/>
      </w:tblGrid>
      <w:tr>
        <w:trPr>
          <w:trHeight w:val="1323" w:hRule="atLeast"/>
        </w:trPr>
        <w:tc>
          <w:tcPr>
            <w:tcW w:w="64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41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企业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名称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416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09" w:lineRule="exact"/>
              <w:ind w:left="2693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冶炼设备情况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统一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72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社会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72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信用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72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代码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09" w:lineRule="exact"/>
              <w:ind w:left="655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建设地点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09" w:lineRule="exact"/>
              <w:ind w:left="1723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类别</w:t>
            </w:r>
            <w:r>
              <w:rPr>
                <w:rFonts w:ascii="Times New Roman"/>
                <w:color w:val="000000"/>
                <w:spacing w:val="202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型号</w:t>
            </w:r>
            <w:r>
              <w:rPr>
                <w:rFonts w:ascii="Times New Roman"/>
                <w:color w:val="000000"/>
                <w:spacing w:val="204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单位</w:t>
            </w:r>
            <w:r>
              <w:rPr>
                <w:rFonts w:ascii="Times New Roman"/>
                <w:color w:val="000000"/>
                <w:spacing w:val="197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数量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8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1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98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产能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（万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58" w:after="0" w:line="231" w:lineRule="exact"/>
              <w:ind w:left="77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1"/>
                <w:sz w:val="21"/>
              </w:rPr>
              <w:t>吨</w:t>
            </w:r>
            <w:r>
              <w:rPr>
                <w:rFonts w:ascii="CFHWHG+TimesNewRomanPSMT"/>
                <w:color w:val="000000"/>
                <w:spacing w:val="0"/>
                <w:sz w:val="21"/>
              </w:rPr>
              <w:t>/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46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年）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65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78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拟开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工时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106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间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63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78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拟投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产时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106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间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49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41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置换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比例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</w:tr>
    </w:tbl>
    <w:p>
      <w:pPr>
        <w:pStyle w:val="Normal"/>
        <w:spacing w:before="0" w:after="592" w:line="219" w:lineRule="exact"/>
        <w:ind w:left="786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-1"/>
          <w:sz w:val="21"/>
        </w:rPr>
        <w:t>备注</w:t>
      </w:r>
      <w:r>
        <w:rPr>
          <w:rFonts w:ascii="Times New Roman"/>
          <w:color w:val="000000"/>
          <w:spacing w:val="0"/>
          <w:sz w:val="21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3714"/>
        <w:gridCol w:w="20"/>
        <w:gridCol w:w="738"/>
        <w:gridCol w:w="20"/>
        <w:gridCol w:w="1319"/>
        <w:gridCol w:w="20"/>
        <w:gridCol w:w="714"/>
        <w:gridCol w:w="20"/>
        <w:gridCol w:w="587"/>
        <w:gridCol w:w="20"/>
        <w:gridCol w:w="504"/>
        <w:gridCol w:w="0"/>
      </w:tblGrid>
      <w:tr>
        <w:trPr>
          <w:trHeight w:val="1063" w:hRule="atLeast"/>
        </w:trPr>
        <w:tc>
          <w:tcPr>
            <w:tcW w:w="371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37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示例</w:t>
            </w:r>
            <w:r>
              <w:rPr>
                <w:rFonts w:ascii="Times New Roman"/>
                <w:color w:val="000000"/>
                <w:spacing w:val="288"/>
                <w:sz w:val="21"/>
              </w:rPr>
              <w:t xml:space="preserve"> </w:t>
            </w: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574"/>
                <w:sz w:val="21"/>
              </w:rPr>
              <w:t xml:space="preserve"> </w:t>
            </w: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480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高炉</w:t>
            </w:r>
            <w:r>
              <w:rPr>
                <w:rFonts w:ascii="Times New Roman"/>
                <w:color w:val="000000"/>
                <w:spacing w:val="202"/>
                <w:sz w:val="21"/>
              </w:rPr>
              <w:t xml:space="preserve"> </w:t>
            </w:r>
            <w:r>
              <w:rPr>
                <w:rFonts w:ascii="CFHWHG+TimesNewRomanPSMT"/>
                <w:color w:val="000000"/>
                <w:spacing w:val="0"/>
                <w:sz w:val="21"/>
              </w:rPr>
              <w:t>1280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186" w:after="0" w:line="231" w:lineRule="exact"/>
              <w:ind w:left="132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/>
                <w:color w:val="000000"/>
                <w:spacing w:val="-1"/>
                <w:sz w:val="21"/>
              </w:rPr>
              <w:t>...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8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合计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3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7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立方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106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米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131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37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430"/>
                <w:sz w:val="21"/>
              </w:rPr>
              <w:t xml:space="preserve"> </w:t>
            </w: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1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2"/>
                <w:sz w:val="21"/>
              </w:rPr>
              <w:t>×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年</w:t>
            </w:r>
            <w:r>
              <w:rPr>
                <w:rFonts w:ascii="CFHWHG+TimesNewRomanPSMT" w:hAnsi="CFHWHG+TimesNewRomanPSMT" w:cs="CFHWHG+TimesNewRomanPSMT"/>
                <w:color w:val="000000"/>
                <w:spacing w:val="0"/>
                <w:sz w:val="21"/>
              </w:rPr>
              <w:t>×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46" w:after="0" w:line="209" w:lineRule="exact"/>
              <w:ind w:left="12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月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58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</w:t>
            </w: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年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40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</w:t>
            </w: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月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50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37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/>
                <w:color w:val="000000"/>
                <w:spacing w:val="0"/>
                <w:sz w:val="21"/>
              </w:rPr>
              <w:t>1.5:1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</w:tr>
    </w:tbl>
    <w:p>
      <w:pPr>
        <w:pStyle w:val="Normal"/>
        <w:spacing w:before="89" w:after="46" w:line="219" w:lineRule="exact"/>
        <w:ind w:left="35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1"/>
          <w:sz w:val="21"/>
        </w:rPr>
        <w:t>退出产能情况</w:t>
      </w:r>
      <w:r>
        <w:rPr>
          <w:rFonts w:ascii="Times New Roman"/>
          <w:color w:val="000000"/>
          <w:spacing w:val="0"/>
          <w:sz w:val="21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645"/>
        <w:gridCol w:w="20"/>
        <w:gridCol w:w="4161"/>
        <w:gridCol w:w="20"/>
        <w:gridCol w:w="87"/>
        <w:gridCol w:w="710"/>
        <w:gridCol w:w="20"/>
        <w:gridCol w:w="654"/>
        <w:gridCol w:w="20"/>
        <w:gridCol w:w="498"/>
        <w:gridCol w:w="0"/>
      </w:tblGrid>
      <w:tr>
        <w:trPr>
          <w:trHeight w:val="1323" w:hRule="atLeast"/>
        </w:trPr>
        <w:tc>
          <w:tcPr>
            <w:tcW w:w="64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413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企业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名称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416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09" w:lineRule="exact"/>
              <w:ind w:left="2693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冶炼设备情况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统一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72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社会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72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信用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72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代码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09" w:lineRule="exact"/>
              <w:ind w:left="655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退出地点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0" w:after="0" w:line="209" w:lineRule="exact"/>
              <w:ind w:left="1723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类别</w:t>
            </w:r>
            <w:r>
              <w:rPr>
                <w:rFonts w:ascii="Times New Roman"/>
                <w:color w:val="000000"/>
                <w:spacing w:val="202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型号</w:t>
            </w:r>
            <w:r>
              <w:rPr>
                <w:rFonts w:ascii="Times New Roman"/>
                <w:color w:val="000000"/>
                <w:spacing w:val="204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单位</w:t>
            </w:r>
            <w:r>
              <w:rPr>
                <w:rFonts w:ascii="Times New Roman"/>
                <w:color w:val="000000"/>
                <w:spacing w:val="197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数量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8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1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98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产能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（万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56" w:after="0" w:line="231" w:lineRule="exact"/>
              <w:ind w:left="77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1"/>
                <w:sz w:val="21"/>
              </w:rPr>
              <w:t>吨</w:t>
            </w:r>
            <w:r>
              <w:rPr>
                <w:rFonts w:ascii="CFHWHG+TimesNewRomanPSMT"/>
                <w:color w:val="000000"/>
                <w:spacing w:val="0"/>
                <w:sz w:val="21"/>
              </w:rPr>
              <w:t>/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49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年）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65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76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启动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拆除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时间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49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76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拆除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5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到位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时间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</w:tr>
    </w:tbl>
    <w:p>
      <w:pPr>
        <w:pStyle w:val="Normal"/>
        <w:spacing w:before="0" w:after="598" w:line="219" w:lineRule="exact"/>
        <w:ind w:left="753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-1"/>
          <w:sz w:val="21"/>
        </w:rPr>
        <w:t>备注</w:t>
      </w:r>
      <w:r>
        <w:rPr>
          <w:rFonts w:ascii="Times New Roman"/>
          <w:color w:val="000000"/>
          <w:spacing w:val="0"/>
          <w:sz w:val="21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3714"/>
        <w:gridCol w:w="20"/>
        <w:gridCol w:w="738"/>
        <w:gridCol w:w="20"/>
        <w:gridCol w:w="1319"/>
        <w:gridCol w:w="20"/>
        <w:gridCol w:w="714"/>
        <w:gridCol w:w="20"/>
        <w:gridCol w:w="618"/>
        <w:gridCol w:w="20"/>
        <w:gridCol w:w="1129"/>
        <w:gridCol w:w="0"/>
      </w:tblGrid>
      <w:tr>
        <w:trPr>
          <w:trHeight w:val="751" w:hRule="atLeast"/>
        </w:trPr>
        <w:tc>
          <w:tcPr>
            <w:tcW w:w="371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65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示例</w:t>
            </w:r>
            <w:r>
              <w:rPr>
                <w:rFonts w:ascii="Times New Roman"/>
                <w:color w:val="000000"/>
                <w:spacing w:val="288"/>
                <w:sz w:val="21"/>
              </w:rPr>
              <w:t xml:space="preserve"> </w:t>
            </w: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574"/>
                <w:sz w:val="21"/>
              </w:rPr>
              <w:t xml:space="preserve"> </w:t>
            </w: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480"/>
                <w:sz w:val="21"/>
              </w:rPr>
              <w:t xml:space="preserve"> 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高炉</w:t>
            </w:r>
            <w:r>
              <w:rPr>
                <w:rFonts w:ascii="Times New Roman"/>
                <w:color w:val="000000"/>
                <w:spacing w:val="255"/>
                <w:sz w:val="21"/>
              </w:rPr>
              <w:t xml:space="preserve"> </w:t>
            </w:r>
            <w:r>
              <w:rPr>
                <w:rFonts w:ascii="CFHWHG+TimesNewRomanPSMT"/>
                <w:color w:val="000000"/>
                <w:spacing w:val="-1"/>
                <w:sz w:val="21"/>
              </w:rPr>
              <w:t>600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3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34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立方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5" w:after="0" w:line="209" w:lineRule="exact"/>
              <w:ind w:left="106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米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131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65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430"/>
                <w:sz w:val="21"/>
              </w:rPr>
              <w:t xml:space="preserve"> </w:t>
            </w: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××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71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28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2"/>
                <w:sz w:val="21"/>
              </w:rPr>
              <w:t>×</w:t>
            </w: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年</w:t>
            </w:r>
            <w:r>
              <w:rPr>
                <w:rFonts w:ascii="CFHWHG+TimesNewRomanPSMT" w:hAnsi="CFHWHG+TimesNewRomanPSMT" w:cs="CFHWHG+TimesNewRomanPSMT"/>
                <w:color w:val="000000"/>
                <w:spacing w:val="0"/>
                <w:sz w:val="21"/>
              </w:rPr>
              <w:t>×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49" w:after="0" w:line="209" w:lineRule="exact"/>
              <w:ind w:left="12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月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61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28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</w:t>
            </w: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年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42" w:after="0" w:line="23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CFHWHG+TimesNewRomanPSMT" w:hAnsi="CFHWHG+TimesNewRomanPSMT" w:cs="CFHWHG+TimesNewRomanPSMT"/>
                <w:color w:val="000000"/>
                <w:spacing w:val="-1"/>
                <w:sz w:val="21"/>
              </w:rPr>
              <w:t>×</w:t>
            </w: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月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  <w:tc>
          <w:tcPr>
            <w:tcW w:w="112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转出方案公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0"/>
                <w:sz w:val="21"/>
              </w:rPr>
              <w:t>告网址（如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  <w:p>
            <w:pPr>
              <w:pStyle w:val="Normal"/>
              <w:spacing w:before="62" w:after="0" w:line="209" w:lineRule="exact"/>
              <w:ind w:left="317" w:right="0" w:firstLine="0"/>
              <w:jc w:val="left"/>
              <w:rPr>
                <w:rFonts w:ascii="Times New Roman"/>
                <w:color w:val="000000"/>
                <w:spacing w:val="0"/>
                <w:sz w:val="21"/>
              </w:rPr>
            </w:pPr>
            <w:r>
              <w:rPr>
                <w:rFonts w:ascii="VBHETH+FangSong_GB2312" w:hAnsi="VBHETH+FangSong_GB2312" w:cs="VBHETH+FangSong_GB2312"/>
                <w:color w:val="000000"/>
                <w:spacing w:val="-1"/>
                <w:sz w:val="21"/>
              </w:rPr>
              <w:t>有）</w:t>
            </w:r>
            <w:r>
              <w:rPr>
                <w:rFonts w:ascii="Times New Roman"/>
                <w:color w:val="000000"/>
                <w:spacing w:val="0"/>
                <w:sz w:val="21"/>
              </w:rPr>
            </w:r>
          </w:p>
        </w:tc>
      </w:tr>
    </w:tbl>
    <w:p>
      <w:pPr>
        <w:pStyle w:val="Normal"/>
        <w:spacing w:before="68" w:after="0" w:line="241" w:lineRule="exact"/>
        <w:ind w:left="11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CFHWHG+TimesNewRomanPSMT" w:hAnsi="CFHWHG+TimesNewRomanPSMT" w:cs="CFHWHG+TimesNewRomanPSMT"/>
          <w:color w:val="000000"/>
          <w:spacing w:val="0"/>
          <w:sz w:val="21"/>
        </w:rPr>
        <w:t>…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39" w:after="0" w:line="24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VBHETH+FangSong_GB2312" w:hAnsi="VBHETH+FangSong_GB2312" w:cs="VBHETH+FangSong_GB2312"/>
          <w:color w:val="000000"/>
          <w:spacing w:val="-1"/>
          <w:sz w:val="21"/>
        </w:rPr>
        <w:t>合计</w:t>
      </w:r>
      <w:r>
        <w:rPr>
          <w:rFonts w:ascii="Times New Roman"/>
          <w:color w:val="000000"/>
          <w:spacing w:val="377"/>
          <w:sz w:val="21"/>
        </w:rPr>
        <w:t xml:space="preserve"> </w:t>
      </w:r>
      <w:r>
        <w:rPr>
          <w:rFonts w:ascii="CFHWHG+TimesNewRomanPSMT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751"/>
          <w:sz w:val="21"/>
        </w:rPr>
        <w:t xml:space="preserve"> </w:t>
      </w:r>
      <w:r>
        <w:rPr>
          <w:rFonts w:ascii="CFHWHG+TimesNewRomanPSMT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748"/>
          <w:sz w:val="21"/>
        </w:rPr>
        <w:t xml:space="preserve"> </w:t>
      </w:r>
      <w:r>
        <w:rPr>
          <w:rFonts w:ascii="CFHWHG+TimesNewRomanPSMT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3348"/>
          <w:sz w:val="21"/>
        </w:rPr>
        <w:t xml:space="preserve"> </w:t>
      </w:r>
      <w:r>
        <w:rPr>
          <w:rFonts w:ascii="CFHWHG+TimesNewRomanPSMT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564"/>
          <w:sz w:val="21"/>
        </w:rPr>
        <w:t xml:space="preserve"> </w:t>
      </w:r>
      <w:r>
        <w:rPr>
          <w:rFonts w:ascii="CFHWHG+TimesNewRomanPSMT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0"/>
          <w:sz w:val="21"/>
        </w:rPr>
      </w:r>
    </w:p>
    <w:p>
      <w:pPr>
        <w:pStyle w:val="Normal"/>
        <w:spacing w:before="132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HETH+FangSong_GB2312" w:hAnsi="VBHETH+FangSong_GB2312" w:cs="VBHETH+FangSong_GB2312"/>
          <w:color w:val="000000"/>
          <w:spacing w:val="1"/>
          <w:sz w:val="24"/>
        </w:rPr>
        <w:t>备注：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93" w:after="0" w:line="314" w:lineRule="exact"/>
        <w:ind w:left="144" w:right="1764" w:firstLine="46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1.</w:t>
      </w:r>
      <w:r>
        <w:rPr>
          <w:rFonts w:ascii="VBHETH+FangSong_GB2312" w:hAnsi="VBHETH+FangSong_GB2312" w:cs="VBHETH+FangSong_GB2312"/>
          <w:color w:val="000000"/>
          <w:spacing w:val="-1"/>
          <w:sz w:val="24"/>
        </w:rPr>
        <w:t xml:space="preserve">涉及跨省（区、市）产能置换的退出设备，对应产能应列出转出产能公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告网址。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93" w:after="0" w:line="314" w:lineRule="exact"/>
        <w:ind w:left="144" w:right="1764" w:firstLine="46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2.</w:t>
      </w:r>
      <w:r>
        <w:rPr>
          <w:rFonts w:ascii="VBHETH+FangSong_GB2312" w:hAnsi="VBHETH+FangSong_GB2312" w:cs="VBHETH+FangSong_GB2312"/>
          <w:color w:val="000000"/>
          <w:spacing w:val="-1"/>
          <w:sz w:val="24"/>
        </w:rPr>
        <w:t xml:space="preserve">退出高炉、转炉等量置换建设电炉的项目，须同时明确高炉、转炉退出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计划安排。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31" w:after="0" w:line="276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3.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类别是指：高炉、转炉、电炉、脱磷转炉、</w:t>
      </w:r>
      <w:r>
        <w:rPr>
          <w:rFonts w:ascii="CFHWHG+TimesNewRomanPSMT"/>
          <w:color w:val="000000"/>
          <w:spacing w:val="-1"/>
          <w:sz w:val="24"/>
        </w:rPr>
        <w:t>AOD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炉等。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15" w:after="0" w:line="276" w:lineRule="exact"/>
        <w:ind w:left="61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4.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型号是指：容积、容量等。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77" w:after="0" w:line="314" w:lineRule="exact"/>
        <w:ind w:left="144" w:right="1762" w:firstLine="46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0"/>
          <w:sz w:val="24"/>
        </w:rPr>
        <w:t>5.</w:t>
      </w:r>
      <w:r>
        <w:rPr>
          <w:rFonts w:ascii="VBHETH+FangSong_GB2312" w:hAnsi="VBHETH+FangSong_GB2312" w:cs="VBHETH+FangSong_GB2312"/>
          <w:color w:val="000000"/>
          <w:spacing w:val="-12"/>
          <w:sz w:val="24"/>
        </w:rPr>
        <w:t>单位是指：立方米（高炉）、吨（转炉</w:t>
      </w:r>
      <w:r>
        <w:rPr>
          <w:rFonts w:ascii="CFHWHG+TimesNewRomanPSMT"/>
          <w:color w:val="000000"/>
          <w:spacing w:val="1"/>
          <w:sz w:val="24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电炉</w:t>
      </w:r>
      <w:r>
        <w:rPr>
          <w:rFonts w:ascii="CFHWHG+TimesNewRomanPSMT"/>
          <w:color w:val="000000"/>
          <w:spacing w:val="1"/>
          <w:sz w:val="24"/>
        </w:rPr>
        <w:t>/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脱磷转炉</w:t>
      </w:r>
      <w:r>
        <w:rPr>
          <w:rFonts w:ascii="CFHWHG+TimesNewRomanPSMT"/>
          <w:color w:val="000000"/>
          <w:spacing w:val="0"/>
          <w:sz w:val="24"/>
        </w:rPr>
        <w:t>/AOD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VBHETH+FangSong_GB2312" w:hAnsi="VBHETH+FangSong_GB2312" w:cs="VBHETH+FangSong_GB2312"/>
          <w:color w:val="000000"/>
          <w:spacing w:val="-23"/>
          <w:sz w:val="24"/>
        </w:rPr>
        <w:t xml:space="preserve">炉）、千伏安 </w:t>
      </w:r>
      <w:r>
        <w:rPr>
          <w:rFonts w:ascii="VBHETH+FangSong_GB2312" w:hAnsi="VBHETH+FangSong_GB2312" w:cs="VBHETH+FangSong_GB2312"/>
          <w:color w:val="000000"/>
          <w:spacing w:val="0"/>
          <w:sz w:val="24"/>
        </w:rPr>
        <w:t>（矿热炉）等。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382" w:after="0" w:line="276" w:lineRule="exact"/>
        <w:ind w:left="403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FHWHG+TimesNewRomanPSMT"/>
          <w:color w:val="000000"/>
          <w:spacing w:val="-2"/>
          <w:sz w:val="24"/>
        </w:rPr>
        <w:t>16</w:t>
      </w:r>
      <w:r>
        <w:rPr>
          <w:rFonts w:ascii="Times New Roman"/>
          <w:color w:val="000000"/>
          <w:spacing w:val="0"/>
          <w:sz w:val="24"/>
        </w:rPr>
      </w:r>
    </w:p>
    <w:sectPr>
      <w:pgSz w:w="11900" w:h="16820"/>
      <w:pgMar w:top="1627" w:right="100" w:bottom="0" w:left="180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NUDFA+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616DA5B-0000-0000-0000-000000000000}"/>
  </w:font>
  <w:font w:name="SimHei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VBHETH+FangSong_GB2312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2872FD60-0000-0000-0000-000000000000}"/>
  </w:font>
  <w:font w:name="CFHWHG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75DB6E5C-0000-0000-0000-000000000000}"/>
  </w:font>
  <w:font w:name="SimSun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CFHWHG+TimesNewRomanPS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3" w:fontKey="{75DB6E5C-0000-0000-0000-000000000000}"/>
  </w:font>
  <w:font w:name="SNUDFA+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616DA5B-0000-0000-0000-000000000000}"/>
  </w:font>
  <w:font w:name="VBHETH+FangSong_GB2312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2872FD60-0000-0000-0000-000000000000}"/>
  </w:font>
  <w:font w:name="DJBACH+TimesNewRomanPS-BoldMT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4" w:fontKey="{70F3AA3A-0000-0000-0000-000000000000}"/>
  </w:font>
  <w:font w:name="BPPSQW+KaiTi_GB2312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5" w:fontKey="{17A790E0-0000-0000-0000-000000000000}"/>
  </w:font>
  <w:font w:name="AOGFFK+FZFSK--GBK1-0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6" w:fontKey="{D437290C-0000-0000-0000-000000000000}"/>
  </w:font>
  <w:font w:name="FangSong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settings" Target="settings.xml" /><Relationship Id="rId11" Type="http://schemas.openxmlformats.org/officeDocument/2006/relationships/webSettings" Target="webSettings.xml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styles" Target="styles.xml" /><Relationship Id="rId9" Type="http://schemas.openxmlformats.org/officeDocument/2006/relationships/fontTable" Target="fontTable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docProps/app.xml><?xml version="1.0" encoding="utf-8"?>
<Properties xmlns="http://schemas.openxmlformats.org/officeDocument/2006/extended-properties">
  <Template/>
  <TotalTime>3</TotalTime>
  <Pages>16</Pages>
  <Words>907</Words>
  <Characters>7012</Characters>
  <Application/>
  <DocSecurity>0</DocSecurity>
  <Lines>13</Lines>
  <Paragraphs>438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/>
  <LinksUpToDate>false</LinksUpToDate>
  <CharactersWithSpaces>7351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root</dc:creator>
  <lastModifiedBy>root</lastModifiedBy>
  <revision>1</revision>
  <dcterms:created xmlns:xsi="http://www.w3.org/2001/XMLSchema-instance" xmlns:dcterms="http://purl.org/dc/terms/" xsi:type="dcterms:W3CDTF">2026-09-07T09:19:09+00:00</dcterms:created>
  <dcterms:modified xmlns:xsi="http://www.w3.org/2001/XMLSchema-instance" xmlns:dcterms="http://purl.org/dc/terms/" xsi:type="dcterms:W3CDTF">2026-09-07T09:19:09+00:00</dcterms:modified>
</coreProperties>
</file>